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2E278" w14:textId="48FEA002" w:rsidR="003B5F16" w:rsidRPr="003B5F16" w:rsidRDefault="00582FB4" w:rsidP="00186742">
      <w:pPr>
        <w:spacing w:before="120" w:after="120" w:line="240" w:lineRule="auto"/>
        <w:jc w:val="right"/>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14:paraId="3FC4491F" w14:textId="1322E327" w:rsidR="003B5F16" w:rsidRPr="003B5F16" w:rsidRDefault="00582FB4" w:rsidP="00582FB4">
      <w:pPr>
        <w:spacing w:before="120" w:after="120" w:line="240" w:lineRule="auto"/>
        <w:jc w:val="center"/>
        <w:rPr>
          <w:rFonts w:ascii="Times New Roman" w:hAnsi="Times New Roman" w:cs="Times New Roman"/>
          <w:snapToGrid w:val="0"/>
          <w:sz w:val="24"/>
          <w:szCs w:val="24"/>
        </w:rPr>
      </w:pPr>
      <w:r>
        <w:rPr>
          <w:noProof/>
        </w:rPr>
        <w:drawing>
          <wp:inline distT="114300" distB="114300" distL="114300" distR="114300" wp14:anchorId="5730E2E9" wp14:editId="4545DFC6">
            <wp:extent cx="2013823" cy="49477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13823" cy="494776"/>
                    </a:xfrm>
                    <a:prstGeom prst="rect">
                      <a:avLst/>
                    </a:prstGeom>
                    <a:ln/>
                  </pic:spPr>
                </pic:pic>
              </a:graphicData>
            </a:graphic>
          </wp:inline>
        </w:drawing>
      </w:r>
      <w:r>
        <w:rPr>
          <w:noProof/>
        </w:rPr>
        <w:drawing>
          <wp:inline distT="114300" distB="114300" distL="114300" distR="114300" wp14:anchorId="3C711DB2" wp14:editId="5A8CF6ED">
            <wp:extent cx="1459230" cy="106484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459230" cy="1064844"/>
                    </a:xfrm>
                    <a:prstGeom prst="rect">
                      <a:avLst/>
                    </a:prstGeom>
                    <a:ln/>
                  </pic:spPr>
                </pic:pic>
              </a:graphicData>
            </a:graphic>
          </wp:inline>
        </w:drawing>
      </w:r>
    </w:p>
    <w:p w14:paraId="46CBD372" w14:textId="7F190209" w:rsidR="00582FB4" w:rsidRDefault="00582FB4" w:rsidP="00840253">
      <w:pPr>
        <w:spacing w:before="120" w:after="120" w:line="240" w:lineRule="auto"/>
        <w:rPr>
          <w:rFonts w:ascii="Times New Roman" w:hAnsi="Times New Roman" w:cs="Times New Roman"/>
          <w:snapToGrid w:val="0"/>
          <w:sz w:val="24"/>
          <w:szCs w:val="24"/>
        </w:rPr>
      </w:pPr>
    </w:p>
    <w:p w14:paraId="0E4ADC2C" w14:textId="558ED9A9" w:rsidR="00EF5E88" w:rsidRPr="003B5F16" w:rsidRDefault="00EA136C" w:rsidP="00186742">
      <w:pPr>
        <w:spacing w:before="120" w:after="120" w:line="240" w:lineRule="auto"/>
        <w:jc w:val="right"/>
        <w:rPr>
          <w:rFonts w:ascii="Times New Roman" w:hAnsi="Times New Roman" w:cs="Times New Roman"/>
          <w:snapToGrid w:val="0"/>
          <w:sz w:val="24"/>
          <w:szCs w:val="24"/>
        </w:rPr>
      </w:pPr>
      <w:r w:rsidRPr="003B5F16">
        <w:rPr>
          <w:rFonts w:ascii="Times New Roman" w:hAnsi="Times New Roman" w:cs="Times New Roman"/>
          <w:snapToGrid w:val="0"/>
          <w:sz w:val="24"/>
          <w:szCs w:val="24"/>
        </w:rPr>
        <w:t>Tirana</w:t>
      </w:r>
      <w:r w:rsidR="00964265">
        <w:rPr>
          <w:rFonts w:ascii="Times New Roman" w:hAnsi="Times New Roman" w:cs="Times New Roman"/>
          <w:snapToGrid w:val="0"/>
          <w:sz w:val="24"/>
          <w:szCs w:val="24"/>
        </w:rPr>
        <w:t>, 30</w:t>
      </w:r>
      <w:r w:rsidR="008133C5" w:rsidRPr="003B5F16">
        <w:rPr>
          <w:rFonts w:ascii="Times New Roman" w:hAnsi="Times New Roman" w:cs="Times New Roman"/>
          <w:snapToGrid w:val="0"/>
          <w:sz w:val="24"/>
          <w:szCs w:val="24"/>
        </w:rPr>
        <w:t>/07/</w:t>
      </w:r>
      <w:r w:rsidR="00A20F3A" w:rsidRPr="003B5F16">
        <w:rPr>
          <w:rFonts w:ascii="Times New Roman" w:hAnsi="Times New Roman" w:cs="Times New Roman"/>
          <w:snapToGrid w:val="0"/>
          <w:sz w:val="24"/>
          <w:szCs w:val="24"/>
        </w:rPr>
        <w:t>2021</w:t>
      </w:r>
    </w:p>
    <w:p w14:paraId="68ED4A31" w14:textId="77777777" w:rsidR="00EF5E88" w:rsidRPr="003B5F16" w:rsidRDefault="00EF5E88" w:rsidP="00186742">
      <w:pPr>
        <w:pStyle w:val="BodyText"/>
        <w:spacing w:line="240" w:lineRule="auto"/>
        <w:rPr>
          <w:rFonts w:ascii="Times New Roman" w:hAnsi="Times New Roman" w:cs="Times New Roman"/>
          <w:b/>
          <w:sz w:val="24"/>
          <w:szCs w:val="24"/>
        </w:rPr>
      </w:pPr>
    </w:p>
    <w:p w14:paraId="410B5E45" w14:textId="5E174FB2" w:rsidR="009C76CE" w:rsidRPr="00BB729D" w:rsidRDefault="00BB729D" w:rsidP="00BB729D">
      <w:pPr>
        <w:pStyle w:val="BodyText"/>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CALL FOR APPLICATIONS</w:t>
      </w:r>
    </w:p>
    <w:p w14:paraId="7517AB82" w14:textId="77777777" w:rsidR="00BB729D" w:rsidRPr="00BB729D" w:rsidRDefault="00BB729D" w:rsidP="00EC0D4E">
      <w:pPr>
        <w:pStyle w:val="BodyText"/>
        <w:spacing w:after="0" w:line="240" w:lineRule="auto"/>
        <w:jc w:val="center"/>
        <w:rPr>
          <w:rFonts w:ascii="Times New Roman" w:hAnsi="Times New Roman" w:cs="Times New Roman"/>
          <w:b/>
          <w:sz w:val="24"/>
          <w:szCs w:val="24"/>
        </w:rPr>
      </w:pPr>
    </w:p>
    <w:p w14:paraId="7E696108" w14:textId="37772BFB" w:rsidR="00BB729D" w:rsidRPr="00964265" w:rsidRDefault="00BB729D" w:rsidP="00964265">
      <w:pPr>
        <w:jc w:val="center"/>
        <w:rPr>
          <w:b/>
          <w:sz w:val="26"/>
          <w:szCs w:val="26"/>
          <w:highlight w:val="yellow"/>
        </w:rPr>
      </w:pPr>
      <w:bookmarkStart w:id="0" w:name="_Hlk72326276"/>
      <w:r w:rsidRPr="00BB729D">
        <w:rPr>
          <w:rFonts w:ascii="Times New Roman" w:hAnsi="Times New Roman" w:cs="Times New Roman"/>
          <w:b/>
          <w:sz w:val="28"/>
          <w:szCs w:val="28"/>
        </w:rPr>
        <w:t>“</w:t>
      </w:r>
      <w:r w:rsidR="00964265">
        <w:rPr>
          <w:b/>
          <w:sz w:val="26"/>
          <w:szCs w:val="26"/>
        </w:rPr>
        <w:t>Systemic Conflict Analysis expert to support the development of the new RYCO Strategy 2022 -</w:t>
      </w:r>
      <w:r w:rsidR="00964265" w:rsidRPr="00964265">
        <w:rPr>
          <w:b/>
          <w:sz w:val="26"/>
          <w:szCs w:val="26"/>
        </w:rPr>
        <w:t>2024</w:t>
      </w:r>
      <w:r w:rsidR="00964265" w:rsidRPr="00964265">
        <w:rPr>
          <w:b/>
          <w:sz w:val="26"/>
          <w:szCs w:val="26"/>
        </w:rPr>
        <w:t>”</w:t>
      </w:r>
    </w:p>
    <w:bookmarkEnd w:id="0"/>
    <w:p w14:paraId="110239FB" w14:textId="3155D397" w:rsidR="00612BE1" w:rsidRDefault="00612BE1" w:rsidP="00612BE1">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4023C207" w14:textId="77777777" w:rsidR="00964265" w:rsidRDefault="00964265" w:rsidP="00964265">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23D81B30" w14:textId="77777777" w:rsidR="00964265" w:rsidRDefault="00964265" w:rsidP="00964265">
      <w:pPr>
        <w:tabs>
          <w:tab w:val="left" w:pos="709"/>
          <w:tab w:val="left" w:pos="851"/>
          <w:tab w:val="left" w:pos="1134"/>
          <w:tab w:val="left" w:pos="1418"/>
        </w:tabs>
        <w:spacing w:before="60" w:after="60"/>
        <w:jc w:val="both"/>
        <w:rPr>
          <w:rFonts w:ascii="Times New Roman" w:hAnsi="Times New Roman" w:cs="Times New Roman"/>
          <w:snapToGrid w:val="0"/>
          <w:sz w:val="24"/>
          <w:szCs w:val="24"/>
        </w:rPr>
      </w:pPr>
    </w:p>
    <w:p w14:paraId="559983B1" w14:textId="189A79F0" w:rsidR="00E743CE" w:rsidRPr="00964265" w:rsidRDefault="00D3610C" w:rsidP="00964265">
      <w:pPr>
        <w:tabs>
          <w:tab w:val="left" w:pos="709"/>
          <w:tab w:val="left" w:pos="851"/>
          <w:tab w:val="left" w:pos="1134"/>
          <w:tab w:val="left" w:pos="1418"/>
        </w:tabs>
        <w:spacing w:before="60" w:after="6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This is a </w:t>
      </w:r>
      <w:r w:rsidR="00BB729D">
        <w:rPr>
          <w:rFonts w:ascii="Times New Roman" w:hAnsi="Times New Roman" w:cs="Times New Roman"/>
          <w:snapToGrid w:val="0"/>
          <w:sz w:val="24"/>
          <w:szCs w:val="24"/>
        </w:rPr>
        <w:t xml:space="preserve">call for applications for the </w:t>
      </w:r>
      <w:r w:rsidR="00964265">
        <w:rPr>
          <w:rFonts w:ascii="Times New Roman" w:hAnsi="Times New Roman" w:cs="Times New Roman"/>
          <w:snapToGrid w:val="0"/>
          <w:sz w:val="24"/>
          <w:szCs w:val="24"/>
        </w:rPr>
        <w:t>above mentioned</w:t>
      </w:r>
      <w:r w:rsidR="00BB729D">
        <w:rPr>
          <w:rFonts w:ascii="Times New Roman" w:hAnsi="Times New Roman" w:cs="Times New Roman"/>
          <w:snapToGrid w:val="0"/>
          <w:sz w:val="24"/>
          <w:szCs w:val="24"/>
        </w:rPr>
        <w:t xml:space="preserve"> ser</w:t>
      </w:r>
      <w:r w:rsidR="00964265">
        <w:rPr>
          <w:rFonts w:ascii="Times New Roman" w:hAnsi="Times New Roman" w:cs="Times New Roman"/>
          <w:snapToGrid w:val="0"/>
          <w:sz w:val="24"/>
          <w:szCs w:val="24"/>
        </w:rPr>
        <w:t xml:space="preserve">vice contract. </w:t>
      </w:r>
      <w:r w:rsidR="00E743CE" w:rsidRPr="00E743CE">
        <w:rPr>
          <w:rFonts w:ascii="Times New Roman" w:hAnsi="Times New Roman" w:cs="Times New Roman"/>
          <w:sz w:val="24"/>
          <w:szCs w:val="24"/>
        </w:rPr>
        <w:t xml:space="preserve">Please find </w:t>
      </w:r>
      <w:r w:rsidR="00964265" w:rsidRPr="00E743CE">
        <w:rPr>
          <w:rFonts w:ascii="Times New Roman" w:hAnsi="Times New Roman" w:cs="Times New Roman"/>
          <w:sz w:val="24"/>
          <w:szCs w:val="24"/>
        </w:rPr>
        <w:t xml:space="preserve">enclosed </w:t>
      </w:r>
      <w:r w:rsidR="00964265">
        <w:rPr>
          <w:rFonts w:ascii="Times New Roman" w:hAnsi="Times New Roman" w:cs="Times New Roman"/>
          <w:sz w:val="24"/>
          <w:szCs w:val="24"/>
        </w:rPr>
        <w:t>to</w:t>
      </w:r>
      <w:r w:rsidR="00C9065D">
        <w:rPr>
          <w:rFonts w:ascii="Times New Roman" w:hAnsi="Times New Roman" w:cs="Times New Roman"/>
          <w:sz w:val="24"/>
          <w:szCs w:val="24"/>
        </w:rPr>
        <w:t xml:space="preserve"> this i</w:t>
      </w:r>
      <w:r w:rsidR="00964265">
        <w:rPr>
          <w:rFonts w:ascii="Times New Roman" w:hAnsi="Times New Roman" w:cs="Times New Roman"/>
          <w:sz w:val="24"/>
          <w:szCs w:val="24"/>
        </w:rPr>
        <w:t>nvitation the relevant Terms of Reference.</w:t>
      </w:r>
    </w:p>
    <w:p w14:paraId="16D50C6B" w14:textId="77777777" w:rsidR="00964265" w:rsidRDefault="00964265" w:rsidP="00840253">
      <w:pPr>
        <w:spacing w:before="120" w:after="120"/>
        <w:jc w:val="both"/>
        <w:rPr>
          <w:rFonts w:ascii="Times New Roman" w:hAnsi="Times New Roman" w:cs="Times New Roman"/>
          <w:snapToGrid w:val="0"/>
          <w:sz w:val="24"/>
          <w:szCs w:val="24"/>
        </w:rPr>
      </w:pPr>
    </w:p>
    <w:p w14:paraId="37037357" w14:textId="365C87DD" w:rsidR="00612BE1" w:rsidRDefault="00E743CE" w:rsidP="00840253">
      <w:pPr>
        <w:spacing w:before="120" w:after="120"/>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We look forward to receiving your </w:t>
      </w:r>
      <w:r>
        <w:rPr>
          <w:rFonts w:ascii="Times New Roman" w:hAnsi="Times New Roman" w:cs="Times New Roman"/>
          <w:snapToGrid w:val="0"/>
          <w:sz w:val="24"/>
          <w:szCs w:val="24"/>
        </w:rPr>
        <w:t>application</w:t>
      </w:r>
      <w:r w:rsidRPr="003B5F16">
        <w:rPr>
          <w:rFonts w:ascii="Times New Roman" w:hAnsi="Times New Roman" w:cs="Times New Roman"/>
          <w:snapToGrid w:val="0"/>
          <w:sz w:val="24"/>
          <w:szCs w:val="24"/>
        </w:rPr>
        <w:t xml:space="preserve">, which has to be sent no later than the submission   deadline at the e mail address specified in </w:t>
      </w:r>
      <w:r w:rsidR="00A23022">
        <w:rPr>
          <w:rFonts w:ascii="Times New Roman" w:hAnsi="Times New Roman" w:cs="Times New Roman"/>
          <w:snapToGrid w:val="0"/>
          <w:sz w:val="24"/>
          <w:szCs w:val="24"/>
        </w:rPr>
        <w:t>the Terms of Reference.</w:t>
      </w:r>
    </w:p>
    <w:p w14:paraId="54807858" w14:textId="52EF0340" w:rsidR="00612BE1" w:rsidRPr="00964265" w:rsidRDefault="00612BE1" w:rsidP="00964265">
      <w:pPr>
        <w:spacing w:line="240" w:lineRule="auto"/>
        <w:rPr>
          <w:sz w:val="20"/>
          <w:szCs w:val="20"/>
          <w:vertAlign w:val="superscript"/>
        </w:rPr>
      </w:pPr>
    </w:p>
    <w:p w14:paraId="564BEB24" w14:textId="5F1E245E" w:rsidR="00E743CE" w:rsidRPr="003B5F16" w:rsidRDefault="00E743CE" w:rsidP="00582FB4">
      <w:pPr>
        <w:shd w:val="clear" w:color="auto" w:fill="FFFFFF"/>
        <w:jc w:val="both"/>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By submitting your </w:t>
      </w:r>
      <w:r w:rsidR="008D6A96">
        <w:rPr>
          <w:rFonts w:ascii="Times New Roman" w:hAnsi="Times New Roman" w:cs="Times New Roman"/>
          <w:snapToGrid w:val="0"/>
          <w:sz w:val="24"/>
          <w:szCs w:val="24"/>
        </w:rPr>
        <w:t>application</w:t>
      </w:r>
      <w:r w:rsidR="008D6A96" w:rsidRPr="003B5F16">
        <w:rPr>
          <w:rFonts w:ascii="Times New Roman" w:hAnsi="Times New Roman" w:cs="Times New Roman"/>
          <w:snapToGrid w:val="0"/>
          <w:sz w:val="24"/>
          <w:szCs w:val="24"/>
        </w:rPr>
        <w:t xml:space="preserve">, </w:t>
      </w:r>
      <w:r w:rsidRPr="003B5F16">
        <w:rPr>
          <w:rFonts w:ascii="Times New Roman" w:hAnsi="Times New Roman" w:cs="Times New Roman"/>
          <w:snapToGrid w:val="0"/>
          <w:sz w:val="24"/>
          <w:szCs w:val="24"/>
        </w:rPr>
        <w:t xml:space="preserve">you accept </w:t>
      </w:r>
      <w:r w:rsidR="008D6A96">
        <w:rPr>
          <w:rFonts w:ascii="Times New Roman" w:hAnsi="Times New Roman" w:cs="Times New Roman"/>
          <w:snapToGrid w:val="0"/>
          <w:sz w:val="24"/>
          <w:szCs w:val="24"/>
        </w:rPr>
        <w:t xml:space="preserve">the terms and conditions set in the Terms of Reference as well as to </w:t>
      </w:r>
      <w:r w:rsidRPr="003B5F16">
        <w:rPr>
          <w:rFonts w:ascii="Times New Roman" w:hAnsi="Times New Roman" w:cs="Times New Roman"/>
          <w:snapToGrid w:val="0"/>
          <w:sz w:val="24"/>
          <w:szCs w:val="24"/>
        </w:rPr>
        <w:t>receive notification of the outcome of the procedure by electronic means. Such notification shall be deemed to have been received by you on the date upon which the contracting authority sends it to the electronic address you referred to in your offer.</w:t>
      </w:r>
    </w:p>
    <w:p w14:paraId="39889D8B" w14:textId="14BC0E3B" w:rsidR="00E743CE" w:rsidRPr="003B5F16" w:rsidRDefault="00612BE1" w:rsidP="00E743CE">
      <w:pPr>
        <w:spacing w:after="0" w:line="240" w:lineRule="auto"/>
        <w:ind w:hanging="14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14:paraId="5D11FBDD" w14:textId="77777777" w:rsidR="00C9065D" w:rsidRDefault="00E743CE" w:rsidP="0048217A">
      <w:pPr>
        <w:spacing w:after="0" w:line="240" w:lineRule="auto"/>
        <w:ind w:hanging="142"/>
        <w:rPr>
          <w:rFonts w:ascii="Times New Roman" w:hAnsi="Times New Roman" w:cs="Times New Roman"/>
          <w:snapToGrid w:val="0"/>
          <w:sz w:val="24"/>
          <w:szCs w:val="24"/>
        </w:rPr>
      </w:pPr>
      <w:r w:rsidRPr="003B5F16">
        <w:rPr>
          <w:rFonts w:ascii="Times New Roman" w:hAnsi="Times New Roman" w:cs="Times New Roman"/>
          <w:snapToGrid w:val="0"/>
          <w:sz w:val="24"/>
          <w:szCs w:val="24"/>
        </w:rPr>
        <w:t xml:space="preserve">  </w:t>
      </w:r>
      <w:r w:rsidR="0048217A">
        <w:rPr>
          <w:rFonts w:ascii="Times New Roman" w:hAnsi="Times New Roman" w:cs="Times New Roman"/>
          <w:snapToGrid w:val="0"/>
          <w:sz w:val="24"/>
          <w:szCs w:val="24"/>
        </w:rPr>
        <w:t xml:space="preserve"> </w:t>
      </w:r>
    </w:p>
    <w:p w14:paraId="6BF08912" w14:textId="77777777" w:rsidR="00C9065D" w:rsidRDefault="00C9065D" w:rsidP="0048217A">
      <w:pPr>
        <w:spacing w:after="0" w:line="240" w:lineRule="auto"/>
        <w:ind w:hanging="142"/>
        <w:rPr>
          <w:rFonts w:ascii="Times New Roman" w:hAnsi="Times New Roman" w:cs="Times New Roman"/>
          <w:snapToGrid w:val="0"/>
          <w:sz w:val="24"/>
          <w:szCs w:val="24"/>
        </w:rPr>
      </w:pPr>
    </w:p>
    <w:p w14:paraId="79D37494" w14:textId="05C769A9" w:rsidR="00E743CE" w:rsidRDefault="00C9065D" w:rsidP="0048217A">
      <w:pPr>
        <w:spacing w:after="0" w:line="240" w:lineRule="auto"/>
        <w:ind w:hanging="142"/>
        <w:rPr>
          <w:rFonts w:ascii="Times New Roman" w:hAnsi="Times New Roman" w:cs="Times New Roman"/>
          <w:b/>
          <w:sz w:val="24"/>
          <w:szCs w:val="24"/>
        </w:rPr>
      </w:pPr>
      <w:r>
        <w:rPr>
          <w:rFonts w:ascii="Times New Roman" w:hAnsi="Times New Roman" w:cs="Times New Roman"/>
          <w:snapToGrid w:val="0"/>
          <w:sz w:val="24"/>
          <w:szCs w:val="24"/>
        </w:rPr>
        <w:t xml:space="preserve"> </w:t>
      </w:r>
      <w:r w:rsidR="0048217A">
        <w:rPr>
          <w:rFonts w:ascii="Times New Roman" w:hAnsi="Times New Roman" w:cs="Times New Roman"/>
          <w:snapToGrid w:val="0"/>
          <w:sz w:val="24"/>
          <w:szCs w:val="24"/>
        </w:rPr>
        <w:t>Thank you!</w:t>
      </w:r>
    </w:p>
    <w:p w14:paraId="00655C6E" w14:textId="463BBB59" w:rsidR="00E743CE" w:rsidRPr="00E743CE" w:rsidRDefault="00E743CE" w:rsidP="00E743CE">
      <w:pPr>
        <w:jc w:val="both"/>
        <w:rPr>
          <w:rFonts w:ascii="Times New Roman" w:hAnsi="Times New Roman" w:cs="Times New Roman"/>
          <w:sz w:val="24"/>
          <w:szCs w:val="24"/>
        </w:rPr>
      </w:pPr>
      <w:r>
        <w:rPr>
          <w:rFonts w:ascii="Times New Roman" w:hAnsi="Times New Roman" w:cs="Times New Roman"/>
          <w:sz w:val="24"/>
          <w:szCs w:val="24"/>
        </w:rPr>
        <w:t xml:space="preserve"> </w:t>
      </w:r>
    </w:p>
    <w:p w14:paraId="5FC50C1B" w14:textId="7C3962A5" w:rsidR="00BB729D" w:rsidRDefault="00BB729D" w:rsidP="00BB729D">
      <w:pPr>
        <w:rPr>
          <w:b/>
          <w:sz w:val="26"/>
          <w:szCs w:val="26"/>
        </w:rPr>
      </w:pPr>
    </w:p>
    <w:p w14:paraId="524FC8DF" w14:textId="33E7F37B" w:rsidR="00916FAD" w:rsidRDefault="00916FAD" w:rsidP="00DD4551">
      <w:pPr>
        <w:rPr>
          <w:b/>
          <w:sz w:val="28"/>
          <w:szCs w:val="28"/>
        </w:rPr>
      </w:pPr>
    </w:p>
    <w:p w14:paraId="4AAC9C8F" w14:textId="311B1DA6" w:rsidR="00612BE1" w:rsidRDefault="00612BE1" w:rsidP="00612BE1">
      <w:pPr>
        <w:jc w:val="center"/>
        <w:rPr>
          <w:b/>
          <w:sz w:val="28"/>
          <w:szCs w:val="28"/>
        </w:rPr>
      </w:pPr>
      <w:r>
        <w:rPr>
          <w:b/>
          <w:sz w:val="28"/>
          <w:szCs w:val="28"/>
        </w:rPr>
        <w:lastRenderedPageBreak/>
        <w:t>TERMS OF REFERENCE</w:t>
      </w:r>
    </w:p>
    <w:p w14:paraId="6EBCFBE6" w14:textId="77777777" w:rsidR="00083109" w:rsidRDefault="00083109" w:rsidP="00083109">
      <w:pPr>
        <w:jc w:val="center"/>
        <w:rPr>
          <w:b/>
          <w:sz w:val="26"/>
          <w:szCs w:val="26"/>
          <w:highlight w:val="yellow"/>
        </w:rPr>
      </w:pPr>
      <w:r>
        <w:rPr>
          <w:b/>
          <w:sz w:val="28"/>
          <w:szCs w:val="28"/>
        </w:rPr>
        <w:t xml:space="preserve"> </w:t>
      </w:r>
      <w:r>
        <w:rPr>
          <w:b/>
          <w:sz w:val="26"/>
          <w:szCs w:val="26"/>
        </w:rPr>
        <w:t>Systemic Conflict Analysis expert to support the development of the new RYCO Strategy 2022 -2024</w:t>
      </w:r>
    </w:p>
    <w:p w14:paraId="444C2C04" w14:textId="29B226EF" w:rsidR="00083109" w:rsidRDefault="00083109" w:rsidP="00083109">
      <w:pPr>
        <w:jc w:val="both"/>
        <w:rPr>
          <w:b/>
        </w:rPr>
      </w:pPr>
    </w:p>
    <w:p w14:paraId="39416FD1" w14:textId="77777777" w:rsidR="00083109" w:rsidRPr="00635645" w:rsidRDefault="00083109" w:rsidP="00083109">
      <w:pPr>
        <w:jc w:val="both"/>
      </w:pPr>
      <w:r>
        <w:rPr>
          <w:b/>
        </w:rPr>
        <w:t>Position:</w:t>
      </w:r>
      <w:r>
        <w:t xml:space="preserve">  Systemic Conflict Analysis (SCA) expert to support the development of the new RYCO Strategy 2022 - 2024 </w:t>
      </w:r>
    </w:p>
    <w:p w14:paraId="1E6B8104" w14:textId="77777777" w:rsidR="00083109" w:rsidRDefault="00083109" w:rsidP="00083109">
      <w:pPr>
        <w:jc w:val="both"/>
      </w:pPr>
      <w:r>
        <w:rPr>
          <w:b/>
        </w:rPr>
        <w:t>Main Beneficiary:</w:t>
      </w:r>
      <w:r>
        <w:t xml:space="preserve"> Regional Youth Cooperation Office (RYCO)</w:t>
      </w:r>
    </w:p>
    <w:p w14:paraId="1D4132FF" w14:textId="77777777" w:rsidR="00083109" w:rsidRDefault="00083109" w:rsidP="00083109">
      <w:pPr>
        <w:jc w:val="both"/>
      </w:pPr>
      <w:r>
        <w:rPr>
          <w:b/>
        </w:rPr>
        <w:t>Financing institution:</w:t>
      </w:r>
      <w:r>
        <w:t xml:space="preserve"> German Ministry of Foreign Affairs (GMFA)</w:t>
      </w:r>
    </w:p>
    <w:p w14:paraId="694E317B" w14:textId="77777777" w:rsidR="00083109" w:rsidRDefault="00083109" w:rsidP="00083109">
      <w:pPr>
        <w:jc w:val="both"/>
        <w:rPr>
          <w:highlight w:val="yellow"/>
        </w:rPr>
      </w:pPr>
      <w:r>
        <w:rPr>
          <w:b/>
        </w:rPr>
        <w:t xml:space="preserve">Duration: </w:t>
      </w:r>
      <w:r>
        <w:t xml:space="preserve">Aug 15 - 15 November 2021 - 15 Working days </w:t>
      </w:r>
    </w:p>
    <w:p w14:paraId="77CD3B82" w14:textId="77777777" w:rsidR="00083109" w:rsidRDefault="00083109" w:rsidP="00083109">
      <w:pPr>
        <w:jc w:val="both"/>
      </w:pPr>
      <w:r w:rsidRPr="00635645">
        <w:rPr>
          <w:b/>
        </w:rPr>
        <w:t>Location:</w:t>
      </w:r>
      <w:r w:rsidRPr="00635645">
        <w:t xml:space="preserve"> WB6</w:t>
      </w:r>
    </w:p>
    <w:p w14:paraId="1770E5C9" w14:textId="77777777" w:rsidR="00083109" w:rsidRDefault="00083109" w:rsidP="00083109">
      <w:pPr>
        <w:jc w:val="both"/>
      </w:pPr>
      <w:r w:rsidRPr="000D74F8">
        <w:rPr>
          <w:b/>
        </w:rPr>
        <w:t>Status:</w:t>
      </w:r>
      <w:r>
        <w:t xml:space="preserve"> Individual</w:t>
      </w:r>
    </w:p>
    <w:p w14:paraId="612C17B9" w14:textId="2EB6C47F" w:rsidR="00083109" w:rsidRPr="000D74F8" w:rsidRDefault="00083109" w:rsidP="00083109">
      <w:pPr>
        <w:jc w:val="both"/>
        <w:rPr>
          <w:b/>
        </w:rPr>
      </w:pPr>
      <w:r w:rsidRPr="000D74F8">
        <w:rPr>
          <w:b/>
        </w:rPr>
        <w:t>Maximum budget available:</w:t>
      </w:r>
      <w:r w:rsidRPr="00083109">
        <w:t xml:space="preserve"> </w:t>
      </w:r>
      <w:r>
        <w:t>2,500.00 EUR.</w:t>
      </w:r>
    </w:p>
    <w:p w14:paraId="04FCBD12" w14:textId="04DD5548" w:rsidR="00083109" w:rsidRDefault="00083109" w:rsidP="00083109">
      <w:pPr>
        <w:jc w:val="both"/>
        <w:rPr>
          <w:highlight w:val="yellow"/>
        </w:rPr>
      </w:pPr>
    </w:p>
    <w:p w14:paraId="6EEE1BE6" w14:textId="77777777" w:rsidR="00083109" w:rsidRDefault="00083109" w:rsidP="00083109">
      <w:pPr>
        <w:jc w:val="both"/>
        <w:rPr>
          <w:b/>
          <w:sz w:val="24"/>
          <w:szCs w:val="24"/>
        </w:rPr>
      </w:pPr>
      <w:r>
        <w:rPr>
          <w:b/>
          <w:sz w:val="24"/>
          <w:szCs w:val="24"/>
        </w:rPr>
        <w:t>Background / About RYCO</w:t>
      </w:r>
    </w:p>
    <w:p w14:paraId="3FB147E2" w14:textId="77777777" w:rsidR="00083109" w:rsidRDefault="00083109" w:rsidP="00083109">
      <w:pPr>
        <w:jc w:val="both"/>
      </w:pPr>
    </w:p>
    <w:p w14:paraId="0F1F705D" w14:textId="2E8E0B4C" w:rsidR="00083109" w:rsidRDefault="00083109" w:rsidP="00083109">
      <w:pPr>
        <w:jc w:val="both"/>
      </w:pPr>
      <w:r>
        <w:t>RYCO is an intergovernmental organization that stewards and promotes regional, cross-border and intercultural cooperation within and among its six Western Balkan Contracting Parties: Albania, Bosnia and Herzegovina, Kosovo</w:t>
      </w:r>
      <w:r>
        <w:rPr>
          <w:vertAlign w:val="superscript"/>
        </w:rPr>
        <w:t>*</w:t>
      </w:r>
      <w: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A key instrument enabling RYCO to fulfill its mission is grant-making; developing tailored calls for proposals that enable CSOs and schools to engage in initiatives that contribute to mutual understanding of youth from various communities across RYCO’s Contracting Parties, thus contributing to reconciliation and youth participation. </w:t>
      </w:r>
    </w:p>
    <w:p w14:paraId="56E45763" w14:textId="46335875" w:rsidR="00083109" w:rsidRPr="00083109" w:rsidRDefault="00083109" w:rsidP="00083109">
      <w:pPr>
        <w:spacing w:before="240" w:after="240"/>
        <w:jc w:val="both"/>
      </w:pPr>
      <w:r>
        <w:t>With the support of GMFA, RYCO is starting the development of the new official Strategy of RYCO for the period 2022-2024. This strategy will be developed through an inclusive, interactive and WB6 youth need - based process, built on produced outcomes coming from the 2019-2021 strategy and aligned with RYCO's mission and vision.</w:t>
      </w:r>
    </w:p>
    <w:p w14:paraId="3A1D6D65" w14:textId="15FA850D" w:rsidR="00083109" w:rsidRDefault="00083109" w:rsidP="00083109">
      <w:pPr>
        <w:spacing w:line="240" w:lineRule="auto"/>
        <w:rPr>
          <w:sz w:val="20"/>
          <w:szCs w:val="20"/>
          <w:vertAlign w:val="superscript"/>
        </w:rPr>
      </w:pPr>
      <w:r>
        <w:rPr>
          <w:sz w:val="16"/>
          <w:szCs w:val="16"/>
        </w:rPr>
        <w:t>*</w:t>
      </w:r>
      <w:r>
        <w:rPr>
          <w:sz w:val="16"/>
          <w:szCs w:val="16"/>
        </w:rPr>
        <w:t>This designation is without prejudice to positions on status, and is in line with UNSCR 1244 and the ICJ Opinion on the Kosovo Declaration of Independence</w:t>
      </w:r>
    </w:p>
    <w:p w14:paraId="46CC6005" w14:textId="77777777" w:rsidR="00083109" w:rsidRDefault="00083109" w:rsidP="00083109">
      <w:pPr>
        <w:spacing w:before="240" w:after="240"/>
        <w:jc w:val="both"/>
        <w:rPr>
          <w:b/>
        </w:rPr>
      </w:pPr>
    </w:p>
    <w:p w14:paraId="298C88F1" w14:textId="77777777" w:rsidR="00083109" w:rsidRDefault="00083109" w:rsidP="00083109">
      <w:pPr>
        <w:spacing w:before="240" w:after="240"/>
        <w:jc w:val="both"/>
        <w:rPr>
          <w:b/>
          <w:sz w:val="24"/>
          <w:szCs w:val="24"/>
        </w:rPr>
      </w:pPr>
      <w:r>
        <w:rPr>
          <w:b/>
          <w:sz w:val="24"/>
          <w:szCs w:val="24"/>
        </w:rPr>
        <w:lastRenderedPageBreak/>
        <w:t>Purpose of the service</w:t>
      </w:r>
    </w:p>
    <w:p w14:paraId="0F6E5953" w14:textId="77777777" w:rsidR="00083109" w:rsidRDefault="00083109" w:rsidP="00083109">
      <w:pPr>
        <w:jc w:val="both"/>
      </w:pPr>
      <w:r>
        <w:t xml:space="preserve">RYCO is at the end of the implementation of its current strategy for the period of 2019 - 2021. An evaluation of this strategy is undergoing and now RYCO is starting with the development of the new strategy 2022 - 2024. The development of the new strategy is a process that foresees a large number of consultations and data collection processes throughout the Western Balkan 6 region, both at the regional and national level with the aim of making sure that the input of youth and their needs are incorporated and reflected in this strategy. </w:t>
      </w:r>
    </w:p>
    <w:p w14:paraId="17657B7A" w14:textId="77777777" w:rsidR="00083109" w:rsidRDefault="00083109" w:rsidP="00083109">
      <w:pPr>
        <w:jc w:val="both"/>
      </w:pPr>
    </w:p>
    <w:p w14:paraId="2B3EC53F" w14:textId="77777777" w:rsidR="00083109" w:rsidRDefault="00083109" w:rsidP="00083109">
      <w:pPr>
        <w:jc w:val="both"/>
      </w:pPr>
      <w:r>
        <w:t>The overall purpose of the service is to conduct a regional WB6, systemic conflict analysis (SCA). The SCA will include box analysis, balancing/reinforcing feedback loops, and stakeholders’ description as methodological tools. It will identify key driving factors for conflict and prioritise entry points for future program activities, followed by an extensive list of recommendations.</w:t>
      </w:r>
    </w:p>
    <w:p w14:paraId="2221D822" w14:textId="77777777" w:rsidR="00083109" w:rsidRDefault="00083109" w:rsidP="00083109">
      <w:pPr>
        <w:jc w:val="both"/>
        <w:rPr>
          <w:b/>
          <w:sz w:val="24"/>
          <w:szCs w:val="24"/>
        </w:rPr>
      </w:pPr>
    </w:p>
    <w:p w14:paraId="076D4674" w14:textId="77777777" w:rsidR="00083109" w:rsidRDefault="00083109" w:rsidP="00083109">
      <w:pPr>
        <w:jc w:val="both"/>
        <w:rPr>
          <w:b/>
          <w:sz w:val="24"/>
          <w:szCs w:val="24"/>
        </w:rPr>
      </w:pPr>
      <w:r>
        <w:rPr>
          <w:b/>
          <w:sz w:val="24"/>
          <w:szCs w:val="24"/>
        </w:rPr>
        <w:t xml:space="preserve">Scope of work </w:t>
      </w:r>
    </w:p>
    <w:p w14:paraId="0634892A" w14:textId="77777777" w:rsidR="00083109" w:rsidRDefault="00083109" w:rsidP="00083109">
      <w:pPr>
        <w:jc w:val="both"/>
      </w:pPr>
    </w:p>
    <w:p w14:paraId="287ECC80" w14:textId="77777777" w:rsidR="00083109" w:rsidRDefault="00083109" w:rsidP="00083109">
      <w:pPr>
        <w:jc w:val="both"/>
      </w:pPr>
      <w:r>
        <w:t>The Expert will work in concert with the other SCA expert hired by the Polish Fund to develop the methodology, guidelines and a set of questions to be used by RYCO facilitators in their field research (interviews, focus group discussions, etc.). In addition, the SCA expert will provide training for the facilitators. The field research will include a set of semi-structured Key Informant Interviews (KIIs) with the relevant representatives of: (i) local authorities; (ii) local NGOs; (iii) the international community, including international donor organizations; (iv) leading researchers/analysts from the Region; (iv) the media; (v) young people (an exact list will be developed in close coordination with RYCO team. All interviews and focus group discussions will be conducted according to the highest ethical research standards.</w:t>
      </w:r>
    </w:p>
    <w:p w14:paraId="237825D7" w14:textId="77777777" w:rsidR="00083109" w:rsidRDefault="00083109" w:rsidP="00083109">
      <w:pPr>
        <w:jc w:val="both"/>
      </w:pPr>
    </w:p>
    <w:p w14:paraId="53506CB1" w14:textId="77777777" w:rsidR="00083109" w:rsidRDefault="00083109" w:rsidP="00083109">
      <w:pPr>
        <w:jc w:val="both"/>
        <w:rPr>
          <w:b/>
          <w:sz w:val="24"/>
          <w:szCs w:val="24"/>
        </w:rPr>
      </w:pPr>
      <w:r>
        <w:t>The entire process will last approximately three months, including the strategic planning process. It will require 15 working days which will be spread during the period of this assignment. These working days will include: (i) training the facilitators on how to conduct SCA; (ii) mentoring the process of SCA drafting; (iii) reviewing the first drafts of SCA reports; (iv) organizing validation workshops with RYCO’s staff; (v) working on and reviewing the final drafts of the SCA; (vI) organizing workshops on summarizing the joint conclusions/ recommendations relevant for RYCO the entire region.</w:t>
      </w:r>
    </w:p>
    <w:p w14:paraId="4F6695FF" w14:textId="77777777" w:rsidR="00083109" w:rsidRDefault="00083109" w:rsidP="00083109">
      <w:pPr>
        <w:jc w:val="both"/>
        <w:rPr>
          <w:b/>
          <w:sz w:val="24"/>
          <w:szCs w:val="24"/>
        </w:rPr>
      </w:pPr>
    </w:p>
    <w:p w14:paraId="2D952D5B" w14:textId="77777777" w:rsidR="00083109" w:rsidRDefault="00083109" w:rsidP="00083109">
      <w:pPr>
        <w:jc w:val="both"/>
        <w:rPr>
          <w:b/>
          <w:sz w:val="24"/>
          <w:szCs w:val="24"/>
        </w:rPr>
      </w:pPr>
      <w:r>
        <w:rPr>
          <w:b/>
          <w:sz w:val="24"/>
          <w:szCs w:val="24"/>
        </w:rPr>
        <w:t>Expected deliverables, timeline and remuneration</w:t>
      </w:r>
    </w:p>
    <w:p w14:paraId="4EF9CE1B" w14:textId="77777777" w:rsidR="00083109" w:rsidRDefault="00083109" w:rsidP="00083109">
      <w:pPr>
        <w:jc w:val="both"/>
      </w:pPr>
    </w:p>
    <w:tbl>
      <w:tblPr>
        <w:tblW w:w="9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
        <w:gridCol w:w="4735"/>
        <w:gridCol w:w="2161"/>
        <w:gridCol w:w="2161"/>
      </w:tblGrid>
      <w:tr w:rsidR="00083109" w14:paraId="2DC3FB19" w14:textId="77777777" w:rsidTr="00AD1EF4">
        <w:trPr>
          <w:trHeight w:val="420"/>
        </w:trPr>
        <w:tc>
          <w:tcPr>
            <w:tcW w:w="4995" w:type="dxa"/>
            <w:gridSpan w:val="2"/>
            <w:shd w:val="clear" w:color="auto" w:fill="auto"/>
            <w:tcMar>
              <w:top w:w="100" w:type="dxa"/>
              <w:left w:w="100" w:type="dxa"/>
              <w:bottom w:w="100" w:type="dxa"/>
              <w:right w:w="100" w:type="dxa"/>
            </w:tcMar>
          </w:tcPr>
          <w:p w14:paraId="6064B7AD" w14:textId="77777777" w:rsidR="00083109" w:rsidRDefault="00083109" w:rsidP="00AD1EF4">
            <w:pPr>
              <w:widowControl w:val="0"/>
              <w:spacing w:line="240" w:lineRule="auto"/>
              <w:jc w:val="center"/>
              <w:rPr>
                <w:b/>
              </w:rPr>
            </w:pPr>
            <w:r>
              <w:rPr>
                <w:b/>
              </w:rPr>
              <w:lastRenderedPageBreak/>
              <w:t>Deliverable</w:t>
            </w:r>
          </w:p>
        </w:tc>
        <w:tc>
          <w:tcPr>
            <w:tcW w:w="2161" w:type="dxa"/>
            <w:shd w:val="clear" w:color="auto" w:fill="auto"/>
            <w:tcMar>
              <w:top w:w="100" w:type="dxa"/>
              <w:left w:w="100" w:type="dxa"/>
              <w:bottom w:w="100" w:type="dxa"/>
              <w:right w:w="100" w:type="dxa"/>
            </w:tcMar>
          </w:tcPr>
          <w:p w14:paraId="12E747D5" w14:textId="77777777" w:rsidR="00083109" w:rsidRDefault="00083109" w:rsidP="00AD1EF4">
            <w:pPr>
              <w:widowControl w:val="0"/>
              <w:spacing w:line="240" w:lineRule="auto"/>
              <w:jc w:val="center"/>
              <w:rPr>
                <w:b/>
              </w:rPr>
            </w:pPr>
            <w:r>
              <w:rPr>
                <w:b/>
              </w:rPr>
              <w:t>Timeline</w:t>
            </w:r>
            <w:r>
              <w:rPr>
                <w:b/>
                <w:vertAlign w:val="superscript"/>
              </w:rPr>
              <w:footnoteReference w:id="1"/>
            </w:r>
          </w:p>
        </w:tc>
        <w:tc>
          <w:tcPr>
            <w:tcW w:w="2161" w:type="dxa"/>
            <w:shd w:val="clear" w:color="auto" w:fill="auto"/>
            <w:tcMar>
              <w:top w:w="100" w:type="dxa"/>
              <w:left w:w="100" w:type="dxa"/>
              <w:bottom w:w="100" w:type="dxa"/>
              <w:right w:w="100" w:type="dxa"/>
            </w:tcMar>
          </w:tcPr>
          <w:p w14:paraId="4DBB8401" w14:textId="77777777" w:rsidR="00083109" w:rsidRDefault="00083109" w:rsidP="00AD1EF4">
            <w:pPr>
              <w:widowControl w:val="0"/>
              <w:spacing w:line="240" w:lineRule="auto"/>
              <w:jc w:val="center"/>
              <w:rPr>
                <w:b/>
              </w:rPr>
            </w:pPr>
            <w:r>
              <w:rPr>
                <w:b/>
              </w:rPr>
              <w:t xml:space="preserve">Remuneration </w:t>
            </w:r>
          </w:p>
        </w:tc>
      </w:tr>
      <w:tr w:rsidR="00083109" w14:paraId="7C04EDE0" w14:textId="77777777" w:rsidTr="00AD1EF4">
        <w:trPr>
          <w:trHeight w:val="420"/>
        </w:trPr>
        <w:tc>
          <w:tcPr>
            <w:tcW w:w="260" w:type="dxa"/>
            <w:shd w:val="clear" w:color="auto" w:fill="auto"/>
            <w:tcMar>
              <w:top w:w="100" w:type="dxa"/>
              <w:left w:w="100" w:type="dxa"/>
              <w:bottom w:w="100" w:type="dxa"/>
              <w:right w:w="100" w:type="dxa"/>
            </w:tcMar>
          </w:tcPr>
          <w:p w14:paraId="5284B4AA" w14:textId="77777777" w:rsidR="00083109" w:rsidRDefault="00083109" w:rsidP="00AD1EF4">
            <w:pPr>
              <w:widowControl w:val="0"/>
              <w:spacing w:line="240" w:lineRule="auto"/>
              <w:jc w:val="center"/>
            </w:pPr>
            <w:r>
              <w:t>1</w:t>
            </w:r>
          </w:p>
        </w:tc>
        <w:tc>
          <w:tcPr>
            <w:tcW w:w="4735" w:type="dxa"/>
            <w:shd w:val="clear" w:color="auto" w:fill="auto"/>
            <w:tcMar>
              <w:top w:w="100" w:type="dxa"/>
              <w:left w:w="100" w:type="dxa"/>
              <w:bottom w:w="100" w:type="dxa"/>
              <w:right w:w="100" w:type="dxa"/>
            </w:tcMar>
          </w:tcPr>
          <w:p w14:paraId="4813BBA5" w14:textId="77777777" w:rsidR="00083109" w:rsidRDefault="00083109" w:rsidP="00AD1EF4">
            <w:pPr>
              <w:widowControl w:val="0"/>
              <w:spacing w:line="240" w:lineRule="auto"/>
            </w:pPr>
            <w:r>
              <w:t>Desk review and/or analysis of relevant docs</w:t>
            </w:r>
          </w:p>
        </w:tc>
        <w:tc>
          <w:tcPr>
            <w:tcW w:w="2161" w:type="dxa"/>
            <w:shd w:val="clear" w:color="auto" w:fill="auto"/>
            <w:tcMar>
              <w:top w:w="100" w:type="dxa"/>
              <w:left w:w="100" w:type="dxa"/>
              <w:bottom w:w="100" w:type="dxa"/>
              <w:right w:w="100" w:type="dxa"/>
            </w:tcMar>
          </w:tcPr>
          <w:p w14:paraId="38127345" w14:textId="77777777" w:rsidR="00083109" w:rsidRDefault="00083109" w:rsidP="00AD1EF4">
            <w:pPr>
              <w:widowControl w:val="0"/>
              <w:spacing w:line="240" w:lineRule="auto"/>
            </w:pPr>
            <w:r>
              <w:t>Aug 15 - Aug 20</w:t>
            </w:r>
          </w:p>
        </w:tc>
        <w:tc>
          <w:tcPr>
            <w:tcW w:w="2161" w:type="dxa"/>
            <w:vMerge w:val="restart"/>
            <w:shd w:val="clear" w:color="auto" w:fill="auto"/>
            <w:tcMar>
              <w:top w:w="100" w:type="dxa"/>
              <w:left w:w="100" w:type="dxa"/>
              <w:bottom w:w="100" w:type="dxa"/>
              <w:right w:w="100" w:type="dxa"/>
            </w:tcMar>
          </w:tcPr>
          <w:p w14:paraId="36DCFF19" w14:textId="77777777" w:rsidR="00083109" w:rsidRDefault="00083109" w:rsidP="00AD1EF4">
            <w:pPr>
              <w:widowControl w:val="0"/>
              <w:spacing w:line="240" w:lineRule="auto"/>
              <w:jc w:val="both"/>
            </w:pPr>
          </w:p>
          <w:p w14:paraId="57334489" w14:textId="77777777" w:rsidR="00083109" w:rsidRDefault="00083109" w:rsidP="00AD1EF4">
            <w:pPr>
              <w:widowControl w:val="0"/>
              <w:spacing w:line="240" w:lineRule="auto"/>
              <w:jc w:val="both"/>
            </w:pPr>
          </w:p>
          <w:p w14:paraId="64D92F88" w14:textId="77777777" w:rsidR="00083109" w:rsidRDefault="00083109" w:rsidP="00AD1EF4">
            <w:pPr>
              <w:widowControl w:val="0"/>
              <w:spacing w:line="240" w:lineRule="auto"/>
              <w:jc w:val="both"/>
            </w:pPr>
          </w:p>
          <w:p w14:paraId="7B016698" w14:textId="77777777" w:rsidR="00083109" w:rsidRDefault="00083109" w:rsidP="00AD1EF4">
            <w:pPr>
              <w:widowControl w:val="0"/>
              <w:spacing w:line="240" w:lineRule="auto"/>
              <w:jc w:val="both"/>
            </w:pPr>
          </w:p>
          <w:p w14:paraId="7FC9CE86" w14:textId="77777777" w:rsidR="00083109" w:rsidRDefault="00083109" w:rsidP="00AD1EF4">
            <w:pPr>
              <w:widowControl w:val="0"/>
              <w:spacing w:line="240" w:lineRule="auto"/>
              <w:jc w:val="both"/>
            </w:pPr>
            <w:r>
              <w:t>First installment of 50%.</w:t>
            </w:r>
          </w:p>
        </w:tc>
      </w:tr>
      <w:tr w:rsidR="00083109" w14:paraId="2BEAFC10" w14:textId="77777777" w:rsidTr="00AD1EF4">
        <w:trPr>
          <w:trHeight w:val="420"/>
        </w:trPr>
        <w:tc>
          <w:tcPr>
            <w:tcW w:w="260" w:type="dxa"/>
            <w:shd w:val="clear" w:color="auto" w:fill="auto"/>
            <w:tcMar>
              <w:top w:w="100" w:type="dxa"/>
              <w:left w:w="100" w:type="dxa"/>
              <w:bottom w:w="100" w:type="dxa"/>
              <w:right w:w="100" w:type="dxa"/>
            </w:tcMar>
          </w:tcPr>
          <w:p w14:paraId="6426ACAC" w14:textId="77777777" w:rsidR="00083109" w:rsidRDefault="00083109" w:rsidP="00AD1EF4">
            <w:pPr>
              <w:widowControl w:val="0"/>
              <w:spacing w:line="240" w:lineRule="auto"/>
              <w:jc w:val="center"/>
            </w:pPr>
            <w:r>
              <w:t>2</w:t>
            </w:r>
          </w:p>
        </w:tc>
        <w:tc>
          <w:tcPr>
            <w:tcW w:w="4735" w:type="dxa"/>
            <w:shd w:val="clear" w:color="auto" w:fill="auto"/>
            <w:tcMar>
              <w:top w:w="100" w:type="dxa"/>
              <w:left w:w="100" w:type="dxa"/>
              <w:bottom w:w="100" w:type="dxa"/>
              <w:right w:w="100" w:type="dxa"/>
            </w:tcMar>
          </w:tcPr>
          <w:p w14:paraId="3ABB3DE4" w14:textId="77777777" w:rsidR="00083109" w:rsidRDefault="00083109" w:rsidP="00AD1EF4">
            <w:pPr>
              <w:widowControl w:val="0"/>
              <w:spacing w:line="240" w:lineRule="auto"/>
            </w:pPr>
            <w:r>
              <w:t>Peer review of SCA Analysis of RYCO consultations</w:t>
            </w:r>
          </w:p>
        </w:tc>
        <w:tc>
          <w:tcPr>
            <w:tcW w:w="2161" w:type="dxa"/>
            <w:shd w:val="clear" w:color="auto" w:fill="auto"/>
            <w:tcMar>
              <w:top w:w="100" w:type="dxa"/>
              <w:left w:w="100" w:type="dxa"/>
              <w:bottom w:w="100" w:type="dxa"/>
              <w:right w:w="100" w:type="dxa"/>
            </w:tcMar>
          </w:tcPr>
          <w:p w14:paraId="3C4233E3" w14:textId="77777777" w:rsidR="00083109" w:rsidRDefault="00083109" w:rsidP="00AD1EF4">
            <w:pPr>
              <w:widowControl w:val="0"/>
              <w:spacing w:line="240" w:lineRule="auto"/>
            </w:pPr>
            <w:r>
              <w:t>Aug 01 - Aug 25</w:t>
            </w:r>
          </w:p>
        </w:tc>
        <w:tc>
          <w:tcPr>
            <w:tcW w:w="2161" w:type="dxa"/>
            <w:vMerge/>
            <w:shd w:val="clear" w:color="auto" w:fill="auto"/>
            <w:tcMar>
              <w:top w:w="100" w:type="dxa"/>
              <w:left w:w="100" w:type="dxa"/>
              <w:bottom w:w="100" w:type="dxa"/>
              <w:right w:w="100" w:type="dxa"/>
            </w:tcMar>
          </w:tcPr>
          <w:p w14:paraId="52CD600F" w14:textId="77777777" w:rsidR="00083109" w:rsidRDefault="00083109" w:rsidP="00AD1EF4">
            <w:pPr>
              <w:widowControl w:val="0"/>
              <w:spacing w:line="240" w:lineRule="auto"/>
            </w:pPr>
          </w:p>
        </w:tc>
      </w:tr>
      <w:tr w:rsidR="00083109" w14:paraId="229795D6" w14:textId="77777777" w:rsidTr="00AD1EF4">
        <w:trPr>
          <w:trHeight w:val="420"/>
        </w:trPr>
        <w:tc>
          <w:tcPr>
            <w:tcW w:w="260" w:type="dxa"/>
            <w:shd w:val="clear" w:color="auto" w:fill="auto"/>
            <w:tcMar>
              <w:top w:w="100" w:type="dxa"/>
              <w:left w:w="100" w:type="dxa"/>
              <w:bottom w:w="100" w:type="dxa"/>
              <w:right w:w="100" w:type="dxa"/>
            </w:tcMar>
          </w:tcPr>
          <w:p w14:paraId="70D4B8C4" w14:textId="77777777" w:rsidR="00083109" w:rsidRDefault="00083109" w:rsidP="00AD1EF4">
            <w:pPr>
              <w:widowControl w:val="0"/>
              <w:spacing w:line="240" w:lineRule="auto"/>
              <w:jc w:val="center"/>
            </w:pPr>
            <w:r>
              <w:t>3</w:t>
            </w:r>
          </w:p>
        </w:tc>
        <w:tc>
          <w:tcPr>
            <w:tcW w:w="4735" w:type="dxa"/>
            <w:shd w:val="clear" w:color="auto" w:fill="auto"/>
            <w:tcMar>
              <w:top w:w="100" w:type="dxa"/>
              <w:left w:w="100" w:type="dxa"/>
              <w:bottom w:w="100" w:type="dxa"/>
              <w:right w:w="100" w:type="dxa"/>
            </w:tcMar>
          </w:tcPr>
          <w:p w14:paraId="2BC137EE" w14:textId="77777777" w:rsidR="00083109" w:rsidRDefault="00083109" w:rsidP="00AD1EF4">
            <w:pPr>
              <w:widowControl w:val="0"/>
              <w:spacing w:line="240" w:lineRule="auto"/>
            </w:pPr>
            <w:r>
              <w:t>Analysis of collected material and drafting regional SCA report</w:t>
            </w:r>
          </w:p>
        </w:tc>
        <w:tc>
          <w:tcPr>
            <w:tcW w:w="2161" w:type="dxa"/>
            <w:shd w:val="clear" w:color="auto" w:fill="auto"/>
            <w:tcMar>
              <w:top w:w="100" w:type="dxa"/>
              <w:left w:w="100" w:type="dxa"/>
              <w:bottom w:w="100" w:type="dxa"/>
              <w:right w:w="100" w:type="dxa"/>
            </w:tcMar>
          </w:tcPr>
          <w:p w14:paraId="2E8B81B3" w14:textId="77777777" w:rsidR="00083109" w:rsidRDefault="00083109" w:rsidP="00AD1EF4">
            <w:pPr>
              <w:widowControl w:val="0"/>
              <w:spacing w:line="240" w:lineRule="auto"/>
            </w:pPr>
            <w:r>
              <w:t>Sept. 20- Oct 08th</w:t>
            </w:r>
          </w:p>
        </w:tc>
        <w:tc>
          <w:tcPr>
            <w:tcW w:w="2161" w:type="dxa"/>
            <w:vMerge/>
            <w:shd w:val="clear" w:color="auto" w:fill="auto"/>
            <w:tcMar>
              <w:top w:w="100" w:type="dxa"/>
              <w:left w:w="100" w:type="dxa"/>
              <w:bottom w:w="100" w:type="dxa"/>
              <w:right w:w="100" w:type="dxa"/>
            </w:tcMar>
          </w:tcPr>
          <w:p w14:paraId="38FB7A82" w14:textId="77777777" w:rsidR="00083109" w:rsidRDefault="00083109" w:rsidP="00AD1EF4">
            <w:pPr>
              <w:widowControl w:val="0"/>
              <w:spacing w:line="240" w:lineRule="auto"/>
            </w:pPr>
          </w:p>
        </w:tc>
      </w:tr>
      <w:tr w:rsidR="00083109" w14:paraId="151FFF44" w14:textId="77777777" w:rsidTr="00AD1EF4">
        <w:trPr>
          <w:trHeight w:val="420"/>
        </w:trPr>
        <w:tc>
          <w:tcPr>
            <w:tcW w:w="260" w:type="dxa"/>
            <w:shd w:val="clear" w:color="auto" w:fill="auto"/>
            <w:tcMar>
              <w:top w:w="100" w:type="dxa"/>
              <w:left w:w="100" w:type="dxa"/>
              <w:bottom w:w="100" w:type="dxa"/>
              <w:right w:w="100" w:type="dxa"/>
            </w:tcMar>
          </w:tcPr>
          <w:p w14:paraId="2C5BE698" w14:textId="77777777" w:rsidR="00083109" w:rsidRDefault="00083109" w:rsidP="00AD1EF4">
            <w:pPr>
              <w:widowControl w:val="0"/>
              <w:spacing w:line="240" w:lineRule="auto"/>
              <w:jc w:val="center"/>
            </w:pPr>
            <w:r>
              <w:t>4</w:t>
            </w:r>
          </w:p>
        </w:tc>
        <w:tc>
          <w:tcPr>
            <w:tcW w:w="4735" w:type="dxa"/>
            <w:shd w:val="clear" w:color="auto" w:fill="auto"/>
            <w:tcMar>
              <w:top w:w="100" w:type="dxa"/>
              <w:left w:w="100" w:type="dxa"/>
              <w:bottom w:w="100" w:type="dxa"/>
              <w:right w:w="100" w:type="dxa"/>
            </w:tcMar>
          </w:tcPr>
          <w:p w14:paraId="5CAA235E" w14:textId="77777777" w:rsidR="00083109" w:rsidRDefault="00083109" w:rsidP="00AD1EF4">
            <w:pPr>
              <w:widowControl w:val="0"/>
              <w:spacing w:line="240" w:lineRule="auto"/>
            </w:pPr>
            <w:r>
              <w:t>Preparation of Working materials for final Validation Workshop</w:t>
            </w:r>
          </w:p>
        </w:tc>
        <w:tc>
          <w:tcPr>
            <w:tcW w:w="2161" w:type="dxa"/>
            <w:shd w:val="clear" w:color="auto" w:fill="auto"/>
            <w:tcMar>
              <w:top w:w="100" w:type="dxa"/>
              <w:left w:w="100" w:type="dxa"/>
              <w:bottom w:w="100" w:type="dxa"/>
              <w:right w:w="100" w:type="dxa"/>
            </w:tcMar>
          </w:tcPr>
          <w:p w14:paraId="061BB84D" w14:textId="77777777" w:rsidR="00083109" w:rsidRDefault="00083109" w:rsidP="00AD1EF4">
            <w:pPr>
              <w:widowControl w:val="0"/>
              <w:spacing w:line="240" w:lineRule="auto"/>
            </w:pPr>
            <w:r>
              <w:t>20 - 28 Sept</w:t>
            </w:r>
          </w:p>
        </w:tc>
        <w:tc>
          <w:tcPr>
            <w:tcW w:w="2161" w:type="dxa"/>
            <w:vMerge/>
            <w:shd w:val="clear" w:color="auto" w:fill="auto"/>
            <w:tcMar>
              <w:top w:w="100" w:type="dxa"/>
              <w:left w:w="100" w:type="dxa"/>
              <w:bottom w:w="100" w:type="dxa"/>
              <w:right w:w="100" w:type="dxa"/>
            </w:tcMar>
          </w:tcPr>
          <w:p w14:paraId="707A0BB5" w14:textId="77777777" w:rsidR="00083109" w:rsidRDefault="00083109" w:rsidP="00AD1EF4">
            <w:pPr>
              <w:widowControl w:val="0"/>
              <w:spacing w:line="240" w:lineRule="auto"/>
            </w:pPr>
          </w:p>
        </w:tc>
      </w:tr>
      <w:tr w:rsidR="00083109" w14:paraId="7E0A4005" w14:textId="77777777" w:rsidTr="00AD1EF4">
        <w:trPr>
          <w:trHeight w:val="420"/>
        </w:trPr>
        <w:tc>
          <w:tcPr>
            <w:tcW w:w="260" w:type="dxa"/>
            <w:shd w:val="clear" w:color="auto" w:fill="auto"/>
            <w:tcMar>
              <w:top w:w="100" w:type="dxa"/>
              <w:left w:w="100" w:type="dxa"/>
              <w:bottom w:w="100" w:type="dxa"/>
              <w:right w:w="100" w:type="dxa"/>
            </w:tcMar>
          </w:tcPr>
          <w:p w14:paraId="07908562" w14:textId="77777777" w:rsidR="00083109" w:rsidRDefault="00083109" w:rsidP="00AD1EF4">
            <w:pPr>
              <w:widowControl w:val="0"/>
              <w:spacing w:line="240" w:lineRule="auto"/>
              <w:jc w:val="center"/>
            </w:pPr>
            <w:r>
              <w:t xml:space="preserve">5 </w:t>
            </w:r>
          </w:p>
        </w:tc>
        <w:tc>
          <w:tcPr>
            <w:tcW w:w="4735" w:type="dxa"/>
            <w:shd w:val="clear" w:color="auto" w:fill="auto"/>
            <w:tcMar>
              <w:top w:w="100" w:type="dxa"/>
              <w:left w:w="100" w:type="dxa"/>
              <w:bottom w:w="100" w:type="dxa"/>
              <w:right w:w="100" w:type="dxa"/>
            </w:tcMar>
          </w:tcPr>
          <w:p w14:paraId="4E59C47C" w14:textId="77777777" w:rsidR="00083109" w:rsidRDefault="00083109" w:rsidP="00AD1EF4">
            <w:pPr>
              <w:widowControl w:val="0"/>
              <w:spacing w:line="240" w:lineRule="auto"/>
            </w:pPr>
            <w:r>
              <w:t>Validation workshop, Facilitation of Workshop and reporting</w:t>
            </w:r>
          </w:p>
        </w:tc>
        <w:tc>
          <w:tcPr>
            <w:tcW w:w="2161" w:type="dxa"/>
            <w:shd w:val="clear" w:color="auto" w:fill="auto"/>
            <w:tcMar>
              <w:top w:w="100" w:type="dxa"/>
              <w:left w:w="100" w:type="dxa"/>
              <w:bottom w:w="100" w:type="dxa"/>
              <w:right w:w="100" w:type="dxa"/>
            </w:tcMar>
          </w:tcPr>
          <w:p w14:paraId="64D3B89D" w14:textId="77777777" w:rsidR="00083109" w:rsidRDefault="00083109" w:rsidP="00AD1EF4">
            <w:pPr>
              <w:widowControl w:val="0"/>
              <w:spacing w:line="240" w:lineRule="auto"/>
            </w:pPr>
            <w:r>
              <w:t xml:space="preserve">29th of Sept </w:t>
            </w:r>
          </w:p>
        </w:tc>
        <w:tc>
          <w:tcPr>
            <w:tcW w:w="2161" w:type="dxa"/>
            <w:vMerge w:val="restart"/>
            <w:shd w:val="clear" w:color="auto" w:fill="auto"/>
            <w:tcMar>
              <w:top w:w="100" w:type="dxa"/>
              <w:left w:w="100" w:type="dxa"/>
              <w:bottom w:w="100" w:type="dxa"/>
              <w:right w:w="100" w:type="dxa"/>
            </w:tcMar>
          </w:tcPr>
          <w:p w14:paraId="295E4AA2" w14:textId="77777777" w:rsidR="00083109" w:rsidRDefault="00083109" w:rsidP="00AD1EF4">
            <w:pPr>
              <w:widowControl w:val="0"/>
              <w:spacing w:line="240" w:lineRule="auto"/>
            </w:pPr>
          </w:p>
          <w:p w14:paraId="2161FC66" w14:textId="77777777" w:rsidR="00083109" w:rsidRDefault="00083109" w:rsidP="00AD1EF4">
            <w:pPr>
              <w:widowControl w:val="0"/>
              <w:spacing w:line="240" w:lineRule="auto"/>
              <w:jc w:val="both"/>
            </w:pPr>
          </w:p>
          <w:p w14:paraId="471C9CD6" w14:textId="77777777" w:rsidR="00083109" w:rsidRDefault="00083109" w:rsidP="00AD1EF4">
            <w:pPr>
              <w:widowControl w:val="0"/>
              <w:spacing w:line="240" w:lineRule="auto"/>
              <w:jc w:val="both"/>
            </w:pPr>
            <w:r>
              <w:t>Second installment of 50%.</w:t>
            </w:r>
          </w:p>
          <w:p w14:paraId="2FB99808" w14:textId="77777777" w:rsidR="00083109" w:rsidRDefault="00083109" w:rsidP="00AD1EF4">
            <w:pPr>
              <w:widowControl w:val="0"/>
              <w:spacing w:line="240" w:lineRule="auto"/>
            </w:pPr>
          </w:p>
        </w:tc>
      </w:tr>
      <w:tr w:rsidR="00083109" w14:paraId="024DB6EE" w14:textId="77777777" w:rsidTr="00AD1EF4">
        <w:trPr>
          <w:trHeight w:val="420"/>
        </w:trPr>
        <w:tc>
          <w:tcPr>
            <w:tcW w:w="260" w:type="dxa"/>
            <w:shd w:val="clear" w:color="auto" w:fill="auto"/>
            <w:tcMar>
              <w:top w:w="100" w:type="dxa"/>
              <w:left w:w="100" w:type="dxa"/>
              <w:bottom w:w="100" w:type="dxa"/>
              <w:right w:w="100" w:type="dxa"/>
            </w:tcMar>
          </w:tcPr>
          <w:p w14:paraId="6A470D34" w14:textId="77777777" w:rsidR="00083109" w:rsidRDefault="00083109" w:rsidP="00AD1EF4">
            <w:pPr>
              <w:widowControl w:val="0"/>
              <w:spacing w:line="240" w:lineRule="auto"/>
              <w:jc w:val="center"/>
            </w:pPr>
            <w:r>
              <w:t>6</w:t>
            </w:r>
          </w:p>
        </w:tc>
        <w:tc>
          <w:tcPr>
            <w:tcW w:w="4735" w:type="dxa"/>
            <w:shd w:val="clear" w:color="auto" w:fill="auto"/>
            <w:tcMar>
              <w:top w:w="100" w:type="dxa"/>
              <w:left w:w="100" w:type="dxa"/>
              <w:bottom w:w="100" w:type="dxa"/>
              <w:right w:w="100" w:type="dxa"/>
            </w:tcMar>
          </w:tcPr>
          <w:p w14:paraId="42D27ACD" w14:textId="77777777" w:rsidR="00083109" w:rsidRDefault="00083109" w:rsidP="00AD1EF4">
            <w:pPr>
              <w:widowControl w:val="0"/>
              <w:spacing w:line="240" w:lineRule="auto"/>
            </w:pPr>
            <w:r>
              <w:t>Preparing draft recommendations</w:t>
            </w:r>
          </w:p>
        </w:tc>
        <w:tc>
          <w:tcPr>
            <w:tcW w:w="2161" w:type="dxa"/>
            <w:shd w:val="clear" w:color="auto" w:fill="auto"/>
            <w:tcMar>
              <w:top w:w="100" w:type="dxa"/>
              <w:left w:w="100" w:type="dxa"/>
              <w:bottom w:w="100" w:type="dxa"/>
              <w:right w:w="100" w:type="dxa"/>
            </w:tcMar>
          </w:tcPr>
          <w:p w14:paraId="1FBDEE6E" w14:textId="77777777" w:rsidR="00083109" w:rsidRDefault="00083109" w:rsidP="00AD1EF4">
            <w:pPr>
              <w:widowControl w:val="0"/>
              <w:spacing w:line="240" w:lineRule="auto"/>
            </w:pPr>
            <w:r>
              <w:t>01- 15 Oct</w:t>
            </w:r>
          </w:p>
        </w:tc>
        <w:tc>
          <w:tcPr>
            <w:tcW w:w="2161" w:type="dxa"/>
            <w:vMerge/>
            <w:shd w:val="clear" w:color="auto" w:fill="auto"/>
            <w:tcMar>
              <w:top w:w="100" w:type="dxa"/>
              <w:left w:w="100" w:type="dxa"/>
              <w:bottom w:w="100" w:type="dxa"/>
              <w:right w:w="100" w:type="dxa"/>
            </w:tcMar>
          </w:tcPr>
          <w:p w14:paraId="5470B146" w14:textId="77777777" w:rsidR="00083109" w:rsidRDefault="00083109" w:rsidP="00AD1EF4">
            <w:pPr>
              <w:widowControl w:val="0"/>
              <w:spacing w:line="240" w:lineRule="auto"/>
            </w:pPr>
          </w:p>
        </w:tc>
      </w:tr>
      <w:tr w:rsidR="00083109" w14:paraId="47F42EE9" w14:textId="77777777" w:rsidTr="00AD1EF4">
        <w:trPr>
          <w:trHeight w:val="420"/>
        </w:trPr>
        <w:tc>
          <w:tcPr>
            <w:tcW w:w="260" w:type="dxa"/>
            <w:shd w:val="clear" w:color="auto" w:fill="auto"/>
            <w:tcMar>
              <w:top w:w="100" w:type="dxa"/>
              <w:left w:w="100" w:type="dxa"/>
              <w:bottom w:w="100" w:type="dxa"/>
              <w:right w:w="100" w:type="dxa"/>
            </w:tcMar>
          </w:tcPr>
          <w:p w14:paraId="7A6F7C88" w14:textId="77777777" w:rsidR="00083109" w:rsidRDefault="00083109" w:rsidP="00AD1EF4">
            <w:pPr>
              <w:widowControl w:val="0"/>
              <w:spacing w:line="240" w:lineRule="auto"/>
              <w:jc w:val="center"/>
            </w:pPr>
            <w:r>
              <w:t>7</w:t>
            </w:r>
          </w:p>
        </w:tc>
        <w:tc>
          <w:tcPr>
            <w:tcW w:w="4735" w:type="dxa"/>
            <w:shd w:val="clear" w:color="auto" w:fill="auto"/>
            <w:tcMar>
              <w:top w:w="100" w:type="dxa"/>
              <w:left w:w="100" w:type="dxa"/>
              <w:bottom w:w="100" w:type="dxa"/>
              <w:right w:w="100" w:type="dxa"/>
            </w:tcMar>
          </w:tcPr>
          <w:p w14:paraId="220976D4" w14:textId="77777777" w:rsidR="00083109" w:rsidRDefault="00083109" w:rsidP="00AD1EF4">
            <w:pPr>
              <w:widowControl w:val="0"/>
              <w:spacing w:line="240" w:lineRule="auto"/>
            </w:pPr>
            <w:r>
              <w:t>Participating in the Strategy Forum to discuss the first draft of the strategy</w:t>
            </w:r>
          </w:p>
        </w:tc>
        <w:tc>
          <w:tcPr>
            <w:tcW w:w="2161" w:type="dxa"/>
            <w:shd w:val="clear" w:color="auto" w:fill="auto"/>
            <w:tcMar>
              <w:top w:w="100" w:type="dxa"/>
              <w:left w:w="100" w:type="dxa"/>
              <w:bottom w:w="100" w:type="dxa"/>
              <w:right w:w="100" w:type="dxa"/>
            </w:tcMar>
          </w:tcPr>
          <w:p w14:paraId="60207283" w14:textId="77777777" w:rsidR="00083109" w:rsidRDefault="00083109" w:rsidP="00AD1EF4">
            <w:pPr>
              <w:widowControl w:val="0"/>
              <w:spacing w:line="240" w:lineRule="auto"/>
            </w:pPr>
            <w:r>
              <w:t>13 - 15 Oct</w:t>
            </w:r>
          </w:p>
        </w:tc>
        <w:tc>
          <w:tcPr>
            <w:tcW w:w="2161" w:type="dxa"/>
            <w:vMerge/>
            <w:shd w:val="clear" w:color="auto" w:fill="auto"/>
            <w:tcMar>
              <w:top w:w="100" w:type="dxa"/>
              <w:left w:w="100" w:type="dxa"/>
              <w:bottom w:w="100" w:type="dxa"/>
              <w:right w:w="100" w:type="dxa"/>
            </w:tcMar>
          </w:tcPr>
          <w:p w14:paraId="57D60114" w14:textId="77777777" w:rsidR="00083109" w:rsidRDefault="00083109" w:rsidP="00AD1EF4">
            <w:pPr>
              <w:widowControl w:val="0"/>
              <w:spacing w:line="240" w:lineRule="auto"/>
            </w:pPr>
          </w:p>
        </w:tc>
      </w:tr>
      <w:tr w:rsidR="00083109" w14:paraId="3B7532E0" w14:textId="77777777" w:rsidTr="00AD1EF4">
        <w:trPr>
          <w:trHeight w:val="420"/>
        </w:trPr>
        <w:tc>
          <w:tcPr>
            <w:tcW w:w="260" w:type="dxa"/>
            <w:shd w:val="clear" w:color="auto" w:fill="auto"/>
            <w:tcMar>
              <w:top w:w="100" w:type="dxa"/>
              <w:left w:w="100" w:type="dxa"/>
              <w:bottom w:w="100" w:type="dxa"/>
              <w:right w:w="100" w:type="dxa"/>
            </w:tcMar>
          </w:tcPr>
          <w:p w14:paraId="7DB887E4" w14:textId="77777777" w:rsidR="00083109" w:rsidRDefault="00083109" w:rsidP="00AD1EF4">
            <w:pPr>
              <w:widowControl w:val="0"/>
              <w:spacing w:line="240" w:lineRule="auto"/>
              <w:jc w:val="center"/>
            </w:pPr>
            <w:r>
              <w:t>8</w:t>
            </w:r>
          </w:p>
        </w:tc>
        <w:tc>
          <w:tcPr>
            <w:tcW w:w="4735" w:type="dxa"/>
            <w:shd w:val="clear" w:color="auto" w:fill="auto"/>
            <w:tcMar>
              <w:top w:w="100" w:type="dxa"/>
              <w:left w:w="100" w:type="dxa"/>
              <w:bottom w:w="100" w:type="dxa"/>
              <w:right w:w="100" w:type="dxa"/>
            </w:tcMar>
          </w:tcPr>
          <w:p w14:paraId="2B424192" w14:textId="77777777" w:rsidR="00083109" w:rsidRDefault="00083109" w:rsidP="00AD1EF4">
            <w:pPr>
              <w:widowControl w:val="0"/>
              <w:spacing w:line="240" w:lineRule="auto"/>
            </w:pPr>
            <w:r>
              <w:t>Taking part in the final work of the Program task force.</w:t>
            </w:r>
          </w:p>
        </w:tc>
        <w:tc>
          <w:tcPr>
            <w:tcW w:w="2161" w:type="dxa"/>
            <w:shd w:val="clear" w:color="auto" w:fill="auto"/>
            <w:tcMar>
              <w:top w:w="100" w:type="dxa"/>
              <w:left w:w="100" w:type="dxa"/>
              <w:bottom w:w="100" w:type="dxa"/>
              <w:right w:w="100" w:type="dxa"/>
            </w:tcMar>
          </w:tcPr>
          <w:p w14:paraId="27DA4EBD" w14:textId="77777777" w:rsidR="00083109" w:rsidRDefault="00083109" w:rsidP="00AD1EF4">
            <w:pPr>
              <w:widowControl w:val="0"/>
              <w:spacing w:line="240" w:lineRule="auto"/>
            </w:pPr>
            <w:r>
              <w:t>20 Oct- 10 Nov</w:t>
            </w:r>
          </w:p>
        </w:tc>
        <w:tc>
          <w:tcPr>
            <w:tcW w:w="2161" w:type="dxa"/>
            <w:shd w:val="clear" w:color="auto" w:fill="auto"/>
            <w:tcMar>
              <w:top w:w="100" w:type="dxa"/>
              <w:left w:w="100" w:type="dxa"/>
              <w:bottom w:w="100" w:type="dxa"/>
              <w:right w:w="100" w:type="dxa"/>
            </w:tcMar>
          </w:tcPr>
          <w:p w14:paraId="7D0B742F" w14:textId="77777777" w:rsidR="00083109" w:rsidRDefault="00083109" w:rsidP="00AD1EF4">
            <w:pPr>
              <w:widowControl w:val="0"/>
              <w:spacing w:line="240" w:lineRule="auto"/>
            </w:pPr>
          </w:p>
        </w:tc>
      </w:tr>
    </w:tbl>
    <w:p w14:paraId="1A2D8256" w14:textId="77777777" w:rsidR="00083109" w:rsidRDefault="00083109" w:rsidP="00083109">
      <w:pPr>
        <w:jc w:val="both"/>
      </w:pPr>
    </w:p>
    <w:p w14:paraId="5EEDD13E" w14:textId="77777777" w:rsidR="00083109" w:rsidRDefault="00083109" w:rsidP="00083109">
      <w:pPr>
        <w:jc w:val="both"/>
      </w:pPr>
      <w:r>
        <w:t xml:space="preserve">Deliverables from 1-4 will be conducted in concert with the Systemic Conflict Analysis Expert hired under the polish fund. While the rest of deliverables will be managed solely by the expert hired under this contract. </w:t>
      </w:r>
    </w:p>
    <w:p w14:paraId="6481139C" w14:textId="77777777" w:rsidR="00083109" w:rsidRDefault="00083109" w:rsidP="00083109">
      <w:pPr>
        <w:jc w:val="both"/>
      </w:pPr>
      <w:r>
        <w:t>The Contract will be realized in Euro and the payment will be conducted in two installments, after successful completion of service and provided deliverables are approved. The maximum budget available is 2,500.00 EUR. For payment, the provider will be requested to submit the approved deliverables and reports which should be in English, and invoices (signed originals).</w:t>
      </w:r>
    </w:p>
    <w:p w14:paraId="46DA2A94" w14:textId="77777777" w:rsidR="00083109" w:rsidRDefault="00083109" w:rsidP="00083109">
      <w:pPr>
        <w:jc w:val="both"/>
      </w:pPr>
    </w:p>
    <w:p w14:paraId="3AA0409D" w14:textId="77777777" w:rsidR="00083109" w:rsidRDefault="00083109" w:rsidP="00083109">
      <w:pPr>
        <w:jc w:val="both"/>
        <w:rPr>
          <w:b/>
          <w:sz w:val="24"/>
          <w:szCs w:val="24"/>
        </w:rPr>
      </w:pPr>
      <w:r>
        <w:rPr>
          <w:b/>
          <w:sz w:val="24"/>
          <w:szCs w:val="24"/>
        </w:rPr>
        <w:t xml:space="preserve">The methodology and approach </w:t>
      </w:r>
    </w:p>
    <w:p w14:paraId="30DBA080" w14:textId="77777777" w:rsidR="00083109" w:rsidRDefault="00083109" w:rsidP="00083109">
      <w:pPr>
        <w:jc w:val="both"/>
      </w:pPr>
    </w:p>
    <w:p w14:paraId="74A923B1" w14:textId="77777777" w:rsidR="00083109" w:rsidRDefault="00083109" w:rsidP="00083109">
      <w:pPr>
        <w:jc w:val="both"/>
      </w:pPr>
      <w:r>
        <w:lastRenderedPageBreak/>
        <w:t xml:space="preserve">The development of the SCA will depend on qualitative preparations and training of external facilitators, therefore the above mentioned deliverables will have to be planned well. </w:t>
      </w:r>
    </w:p>
    <w:p w14:paraId="17CB2B4C" w14:textId="77777777" w:rsidR="00083109" w:rsidRDefault="00083109" w:rsidP="00083109">
      <w:pPr>
        <w:jc w:val="both"/>
      </w:pPr>
    </w:p>
    <w:p w14:paraId="6848CEF6" w14:textId="77777777" w:rsidR="00083109" w:rsidRDefault="00083109" w:rsidP="00083109">
      <w:pPr>
        <w:numPr>
          <w:ilvl w:val="0"/>
          <w:numId w:val="44"/>
        </w:numPr>
        <w:spacing w:after="0" w:line="276" w:lineRule="auto"/>
        <w:jc w:val="both"/>
      </w:pPr>
      <w:r>
        <w:t xml:space="preserve">Desk review and/or analysis of relevant docs. RYCO project staff will provide the SCA expert with relevant background documents for their review, this list should not be seen as exhaustive therefore the expert should also analyses any other document that s/he finds it important for the assessment. </w:t>
      </w:r>
    </w:p>
    <w:p w14:paraId="4C3890BA" w14:textId="77777777" w:rsidR="00083109" w:rsidRDefault="00083109" w:rsidP="00083109">
      <w:pPr>
        <w:numPr>
          <w:ilvl w:val="0"/>
          <w:numId w:val="44"/>
        </w:numPr>
        <w:spacing w:after="0" w:line="276" w:lineRule="auto"/>
        <w:jc w:val="both"/>
      </w:pPr>
      <w:r>
        <w:t xml:space="preserve">Development of the SCA methodology, the expert is foreseen to develop guidelines for interviews and focus groups, including a list of questions needed to drive the interviews fwd. </w:t>
      </w:r>
    </w:p>
    <w:p w14:paraId="311515D9" w14:textId="77777777" w:rsidR="00083109" w:rsidRDefault="00083109" w:rsidP="00083109">
      <w:pPr>
        <w:numPr>
          <w:ilvl w:val="0"/>
          <w:numId w:val="44"/>
        </w:numPr>
        <w:spacing w:after="0" w:line="276" w:lineRule="auto"/>
        <w:jc w:val="both"/>
      </w:pPr>
      <w:r>
        <w:t>Training of external facilitators will be planned and implemented, including the agenda of the training. In addition to the training the SCA expert will support facilitators through mentoring them and answering their questions and uncertainties.</w:t>
      </w:r>
    </w:p>
    <w:p w14:paraId="10F3FD5A" w14:textId="77777777" w:rsidR="00083109" w:rsidRDefault="00083109" w:rsidP="00083109">
      <w:pPr>
        <w:numPr>
          <w:ilvl w:val="0"/>
          <w:numId w:val="44"/>
        </w:numPr>
        <w:spacing w:after="0" w:line="276" w:lineRule="auto"/>
        <w:jc w:val="both"/>
      </w:pPr>
      <w:r>
        <w:t>Once the facilitators have collected all materials an analysis of collected material will be conducted. This will precede drafting of the regional SCA report from the experts.</w:t>
      </w:r>
    </w:p>
    <w:p w14:paraId="7B4B1F29" w14:textId="77777777" w:rsidR="00083109" w:rsidRDefault="00083109" w:rsidP="00083109">
      <w:pPr>
        <w:numPr>
          <w:ilvl w:val="0"/>
          <w:numId w:val="44"/>
        </w:numPr>
        <w:spacing w:after="0" w:line="276" w:lineRule="auto"/>
        <w:jc w:val="both"/>
      </w:pPr>
      <w:r>
        <w:t>Once the SCA report is conducted an validation workshop will be organised.</w:t>
      </w:r>
    </w:p>
    <w:p w14:paraId="0BF77450" w14:textId="77777777" w:rsidR="00083109" w:rsidRDefault="00083109" w:rsidP="00083109">
      <w:pPr>
        <w:numPr>
          <w:ilvl w:val="0"/>
          <w:numId w:val="44"/>
        </w:numPr>
        <w:spacing w:after="0" w:line="276" w:lineRule="auto"/>
        <w:jc w:val="both"/>
      </w:pPr>
      <w:r>
        <w:t>The last activity of the expert will be to participate in the Strategy Forum where will contribute in discussing the first draft of the strategy.</w:t>
      </w:r>
    </w:p>
    <w:p w14:paraId="4A14B0EC" w14:textId="0BEE5CB6" w:rsidR="00083109" w:rsidRDefault="00083109" w:rsidP="00083109">
      <w:pPr>
        <w:jc w:val="both"/>
      </w:pPr>
    </w:p>
    <w:p w14:paraId="16D41BAA" w14:textId="77777777" w:rsidR="00083109" w:rsidRDefault="00083109" w:rsidP="00083109">
      <w:pPr>
        <w:jc w:val="both"/>
        <w:rPr>
          <w:b/>
        </w:rPr>
      </w:pPr>
      <w:r>
        <w:rPr>
          <w:b/>
          <w:sz w:val="24"/>
          <w:szCs w:val="24"/>
        </w:rPr>
        <w:t xml:space="preserve">Required Skills, Experience and Qualifications </w:t>
      </w:r>
      <w:r>
        <w:rPr>
          <w:b/>
        </w:rPr>
        <w:t xml:space="preserve">  </w:t>
      </w:r>
    </w:p>
    <w:p w14:paraId="6235F8A3" w14:textId="77777777" w:rsidR="00083109" w:rsidRDefault="00083109" w:rsidP="00083109">
      <w:pPr>
        <w:jc w:val="both"/>
      </w:pPr>
    </w:p>
    <w:p w14:paraId="4B9061AD" w14:textId="77777777" w:rsidR="00083109" w:rsidRDefault="00083109" w:rsidP="00083109">
      <w:pPr>
        <w:spacing w:after="200"/>
        <w:jc w:val="both"/>
      </w:pPr>
      <w:r>
        <w:t xml:space="preserve">The Content Expert should fulfill the following requirements: </w:t>
      </w:r>
    </w:p>
    <w:p w14:paraId="7D00093A" w14:textId="77777777" w:rsidR="00083109" w:rsidRDefault="00083109" w:rsidP="00083109">
      <w:pPr>
        <w:numPr>
          <w:ilvl w:val="0"/>
          <w:numId w:val="45"/>
        </w:numPr>
        <w:spacing w:after="0"/>
        <w:jc w:val="both"/>
        <w:rPr>
          <w:highlight w:val="white"/>
        </w:rPr>
      </w:pPr>
      <w:r>
        <w:t>Master degree in Social Studies, International Development, Development Economics/Planning, Economics, or any other relevant university degree;</w:t>
      </w:r>
    </w:p>
    <w:p w14:paraId="056EFF0B" w14:textId="77777777" w:rsidR="00083109" w:rsidRDefault="00083109" w:rsidP="00083109">
      <w:pPr>
        <w:numPr>
          <w:ilvl w:val="0"/>
          <w:numId w:val="45"/>
        </w:numPr>
        <w:spacing w:after="0"/>
        <w:jc w:val="both"/>
        <w:rPr>
          <w:highlight w:val="white"/>
        </w:rPr>
      </w:pPr>
      <w:r>
        <w:t>Previous experience with Systemic Conflict Analysis (SCA) methodology and conducting SCA in at least 2 CPs;</w:t>
      </w:r>
    </w:p>
    <w:p w14:paraId="0E3AFDF9" w14:textId="77777777" w:rsidR="00083109" w:rsidRDefault="00083109" w:rsidP="00083109">
      <w:pPr>
        <w:numPr>
          <w:ilvl w:val="0"/>
          <w:numId w:val="45"/>
        </w:numPr>
        <w:spacing w:after="0"/>
        <w:jc w:val="both"/>
      </w:pPr>
      <w:r>
        <w:t>At least 3 years’ experience of developing strategic planning process and/or development of strategic documents for international/regional organizations;</w:t>
      </w:r>
    </w:p>
    <w:p w14:paraId="082DFD0C" w14:textId="77777777" w:rsidR="00083109" w:rsidRDefault="00083109" w:rsidP="00083109">
      <w:pPr>
        <w:numPr>
          <w:ilvl w:val="0"/>
          <w:numId w:val="45"/>
        </w:numPr>
        <w:spacing w:after="0"/>
        <w:jc w:val="both"/>
      </w:pPr>
      <w:r>
        <w:t xml:space="preserve">Previous experience working at the regional level, and good knowledge of the WB6 region, its history and social context; </w:t>
      </w:r>
    </w:p>
    <w:p w14:paraId="675162B0" w14:textId="77777777" w:rsidR="00083109" w:rsidRDefault="00083109" w:rsidP="00083109">
      <w:pPr>
        <w:numPr>
          <w:ilvl w:val="0"/>
          <w:numId w:val="45"/>
        </w:numPr>
        <w:spacing w:after="0"/>
        <w:jc w:val="both"/>
      </w:pPr>
      <w:r>
        <w:t>Advanced computer skills and knowledge using MS office, Google Drive and other Google services (docs, spreadsheets, etc);</w:t>
      </w:r>
    </w:p>
    <w:p w14:paraId="3843F605" w14:textId="77777777" w:rsidR="00083109" w:rsidRDefault="00083109" w:rsidP="00083109">
      <w:pPr>
        <w:numPr>
          <w:ilvl w:val="0"/>
          <w:numId w:val="45"/>
        </w:numPr>
        <w:spacing w:after="0"/>
        <w:jc w:val="both"/>
      </w:pPr>
      <w:r>
        <w:t>Excellent writing and verbal communication skills;</w:t>
      </w:r>
    </w:p>
    <w:p w14:paraId="2241EFDD" w14:textId="77777777" w:rsidR="00083109" w:rsidRDefault="00083109" w:rsidP="00083109">
      <w:pPr>
        <w:numPr>
          <w:ilvl w:val="0"/>
          <w:numId w:val="45"/>
        </w:numPr>
        <w:spacing w:after="0"/>
        <w:jc w:val="both"/>
      </w:pPr>
      <w:r>
        <w:t>Excellent oral and written proficiency in English required. Knowledge of at least one other official language of the Western Balkan region is required.</w:t>
      </w:r>
    </w:p>
    <w:p w14:paraId="569BC727" w14:textId="77777777" w:rsidR="00083109" w:rsidRDefault="00083109" w:rsidP="00083109">
      <w:pPr>
        <w:numPr>
          <w:ilvl w:val="0"/>
          <w:numId w:val="45"/>
        </w:numPr>
        <w:spacing w:after="0"/>
        <w:jc w:val="both"/>
      </w:pPr>
      <w:r>
        <w:t>Resident of one of WB6 CPs;</w:t>
      </w:r>
    </w:p>
    <w:p w14:paraId="31340327" w14:textId="77777777" w:rsidR="00083109" w:rsidRDefault="00083109" w:rsidP="00083109">
      <w:pPr>
        <w:numPr>
          <w:ilvl w:val="0"/>
          <w:numId w:val="45"/>
        </w:numPr>
        <w:spacing w:after="0"/>
        <w:jc w:val="both"/>
      </w:pPr>
      <w:r>
        <w:t>Ability to work in a multicultural environment and to display cultural, gender, nationality and religious sensitivity, and adaptability;</w:t>
      </w:r>
    </w:p>
    <w:p w14:paraId="3369BCCB" w14:textId="77777777" w:rsidR="00083109" w:rsidRDefault="00083109" w:rsidP="00083109">
      <w:pPr>
        <w:jc w:val="both"/>
      </w:pPr>
    </w:p>
    <w:p w14:paraId="6526BFDD" w14:textId="77777777" w:rsidR="005B73B4" w:rsidRPr="0048217A" w:rsidRDefault="005B73B4" w:rsidP="005B73B4">
      <w:pPr>
        <w:jc w:val="both"/>
        <w:rPr>
          <w:b/>
          <w:highlight w:val="white"/>
        </w:rPr>
      </w:pPr>
      <w:r w:rsidRPr="0048217A">
        <w:rPr>
          <w:b/>
          <w:highlight w:val="white"/>
        </w:rPr>
        <w:t>Evidences and supporting documents:</w:t>
      </w:r>
    </w:p>
    <w:p w14:paraId="1A9B79FF" w14:textId="77777777" w:rsidR="005B73B4" w:rsidRDefault="005B73B4" w:rsidP="005B73B4">
      <w:pPr>
        <w:jc w:val="both"/>
        <w:rPr>
          <w:highlight w:val="white"/>
        </w:rPr>
      </w:pPr>
      <w:r>
        <w:rPr>
          <w:highlight w:val="white"/>
        </w:rPr>
        <w:t xml:space="preserve">The application should contain: </w:t>
      </w:r>
    </w:p>
    <w:p w14:paraId="357BAFA8" w14:textId="77777777" w:rsidR="005B73B4" w:rsidRDefault="005B73B4" w:rsidP="005B73B4">
      <w:pPr>
        <w:numPr>
          <w:ilvl w:val="0"/>
          <w:numId w:val="46"/>
        </w:numPr>
        <w:spacing w:after="0" w:line="276" w:lineRule="auto"/>
        <w:jc w:val="both"/>
        <w:rPr>
          <w:highlight w:val="white"/>
        </w:rPr>
      </w:pPr>
      <w:r>
        <w:rPr>
          <w:highlight w:val="white"/>
        </w:rPr>
        <w:t>CV (Europass CV format);</w:t>
      </w:r>
    </w:p>
    <w:p w14:paraId="650E8065" w14:textId="77777777" w:rsidR="005B73B4" w:rsidRDefault="005B73B4" w:rsidP="005B73B4">
      <w:pPr>
        <w:numPr>
          <w:ilvl w:val="0"/>
          <w:numId w:val="46"/>
        </w:numPr>
        <w:spacing w:after="0" w:line="276" w:lineRule="auto"/>
        <w:jc w:val="both"/>
        <w:rPr>
          <w:highlight w:val="white"/>
        </w:rPr>
      </w:pPr>
      <w:r>
        <w:rPr>
          <w:highlight w:val="white"/>
        </w:rPr>
        <w:t>SCA Concept proposal</w:t>
      </w:r>
    </w:p>
    <w:p w14:paraId="78607DA7" w14:textId="77777777" w:rsidR="005B73B4" w:rsidRDefault="005B73B4" w:rsidP="005B73B4">
      <w:pPr>
        <w:numPr>
          <w:ilvl w:val="0"/>
          <w:numId w:val="46"/>
        </w:numPr>
        <w:spacing w:after="0" w:line="276" w:lineRule="auto"/>
        <w:jc w:val="both"/>
        <w:rPr>
          <w:highlight w:val="white"/>
        </w:rPr>
      </w:pPr>
      <w:r>
        <w:rPr>
          <w:highlight w:val="white"/>
        </w:rPr>
        <w:t>Financial offer</w:t>
      </w:r>
    </w:p>
    <w:p w14:paraId="28C15D24" w14:textId="32D96BA6" w:rsidR="005B73B4" w:rsidRDefault="005B73B4" w:rsidP="005B73B4">
      <w:pPr>
        <w:numPr>
          <w:ilvl w:val="0"/>
          <w:numId w:val="46"/>
        </w:numPr>
        <w:spacing w:after="0" w:line="276" w:lineRule="auto"/>
        <w:jc w:val="both"/>
        <w:rPr>
          <w:highlight w:val="white"/>
        </w:rPr>
      </w:pPr>
      <w:r>
        <w:rPr>
          <w:highlight w:val="white"/>
        </w:rPr>
        <w:t>Scanned passport copy.</w:t>
      </w:r>
    </w:p>
    <w:p w14:paraId="5A038357" w14:textId="53D277BF" w:rsidR="005B73B4" w:rsidRPr="005B73B4" w:rsidRDefault="005B73B4" w:rsidP="005B73B4">
      <w:pPr>
        <w:spacing w:after="0" w:line="276" w:lineRule="auto"/>
        <w:jc w:val="both"/>
        <w:rPr>
          <w:b/>
          <w:highlight w:val="white"/>
        </w:rPr>
      </w:pPr>
    </w:p>
    <w:p w14:paraId="7F144259" w14:textId="66E61BDF" w:rsidR="005B73B4" w:rsidRDefault="005B73B4" w:rsidP="005B73B4">
      <w:pPr>
        <w:spacing w:after="0" w:line="276" w:lineRule="auto"/>
        <w:jc w:val="both"/>
        <w:rPr>
          <w:b/>
          <w:highlight w:val="white"/>
        </w:rPr>
      </w:pPr>
      <w:r w:rsidRPr="005B73B4">
        <w:rPr>
          <w:b/>
          <w:highlight w:val="white"/>
        </w:rPr>
        <w:t>Application process</w:t>
      </w:r>
    </w:p>
    <w:p w14:paraId="24C82FF3" w14:textId="77777777" w:rsidR="005B73B4" w:rsidRPr="005B73B4" w:rsidRDefault="005B73B4" w:rsidP="005B73B4">
      <w:pPr>
        <w:spacing w:after="0" w:line="276" w:lineRule="auto"/>
        <w:jc w:val="both"/>
        <w:rPr>
          <w:b/>
          <w:highlight w:val="white"/>
        </w:rPr>
      </w:pPr>
    </w:p>
    <w:p w14:paraId="41A10B45" w14:textId="77777777" w:rsidR="005B73B4" w:rsidRDefault="005B73B4" w:rsidP="005B73B4">
      <w:pPr>
        <w:spacing w:after="120" w:line="240" w:lineRule="auto"/>
        <w:jc w:val="both"/>
      </w:pPr>
      <w:r w:rsidRPr="006658AB">
        <w:t xml:space="preserve">Interested applicants are advised to carefully study all sections of this ToR, and ensure that they meet the general requirements as well as specific qualifications described. Incomplete applications will not be considered for further evaluation. Please make sure you have provided all requested evidences and supporting documents. Interested applicants should develop and submit their application in English </w:t>
      </w:r>
      <w:r w:rsidRPr="006658AB">
        <w:rPr>
          <w:rFonts w:ascii="Times New Roman" w:hAnsi="Times New Roman"/>
          <w:snapToGrid w:val="0"/>
          <w:sz w:val="24"/>
          <w:szCs w:val="24"/>
        </w:rPr>
        <w:t xml:space="preserve">exclusively to the contracting authority: </w:t>
      </w:r>
      <w:r w:rsidRPr="006658AB">
        <w:rPr>
          <w:rFonts w:ascii="Times New Roman" w:hAnsi="Times New Roman"/>
          <w:b/>
          <w:snapToGrid w:val="0"/>
          <w:sz w:val="24"/>
          <w:szCs w:val="24"/>
        </w:rPr>
        <w:t>Regional Youth Cooperation Office (RYCO)</w:t>
      </w:r>
      <w:r w:rsidRPr="006658AB">
        <w:rPr>
          <w:rFonts w:ascii="Times New Roman" w:hAnsi="Times New Roman"/>
          <w:snapToGrid w:val="0"/>
          <w:sz w:val="24"/>
          <w:szCs w:val="24"/>
        </w:rPr>
        <w:t xml:space="preserve"> </w:t>
      </w:r>
      <w:r w:rsidRPr="006658AB">
        <w:rPr>
          <w:rFonts w:ascii="Times New Roman" w:hAnsi="Times New Roman"/>
          <w:sz w:val="24"/>
          <w:szCs w:val="24"/>
        </w:rPr>
        <w:t xml:space="preserve">and be sent </w:t>
      </w:r>
      <w:r w:rsidRPr="006658AB">
        <w:rPr>
          <w:rFonts w:ascii="Times New Roman" w:hAnsi="Times New Roman"/>
          <w:snapToGrid w:val="0"/>
          <w:sz w:val="24"/>
          <w:szCs w:val="24"/>
        </w:rPr>
        <w:t>to the following email address:</w:t>
      </w:r>
      <w:r w:rsidRPr="006658AB">
        <w:t xml:space="preserve"> </w:t>
      </w:r>
    </w:p>
    <w:p w14:paraId="5A3A366C" w14:textId="77777777" w:rsidR="005B73B4" w:rsidRPr="0048217A" w:rsidRDefault="005B73B4" w:rsidP="005B73B4">
      <w:pPr>
        <w:spacing w:after="120" w:line="240" w:lineRule="auto"/>
        <w:jc w:val="both"/>
        <w:rPr>
          <w:rFonts w:ascii="Times New Roman" w:eastAsia="Times New Roman" w:hAnsi="Times New Roman" w:cs="Times New Roman"/>
          <w:b/>
          <w:snapToGrid w:val="0"/>
          <w:sz w:val="40"/>
          <w:szCs w:val="40"/>
          <w:lang w:val="en-GB"/>
        </w:rPr>
      </w:pPr>
      <w:hyperlink r:id="rId10" w:history="1">
        <w:r w:rsidRPr="0048217A">
          <w:rPr>
            <w:rFonts w:ascii="Times New Roman" w:eastAsia="Times New Roman" w:hAnsi="Times New Roman" w:cs="Times New Roman"/>
            <w:snapToGrid w:val="0"/>
            <w:color w:val="0000FF"/>
            <w:sz w:val="40"/>
            <w:szCs w:val="40"/>
            <w:u w:val="single"/>
            <w:lang w:val="en-GB"/>
          </w:rPr>
          <w:t>procurement@rycowb.org</w:t>
        </w:r>
      </w:hyperlink>
      <w:r w:rsidRPr="0048217A">
        <w:rPr>
          <w:rFonts w:ascii="Times New Roman" w:eastAsia="Times New Roman" w:hAnsi="Times New Roman" w:cs="Times New Roman"/>
          <w:sz w:val="40"/>
          <w:szCs w:val="40"/>
          <w:lang w:val="en-GB" w:eastAsia="en-GB"/>
        </w:rPr>
        <w:t xml:space="preserve"> </w:t>
      </w:r>
    </w:p>
    <w:p w14:paraId="0646BDB5" w14:textId="77777777" w:rsidR="005B73B4" w:rsidRDefault="005B73B4" w:rsidP="005B73B4">
      <w:pPr>
        <w:widowControl w:val="0"/>
        <w:spacing w:before="100" w:after="100" w:line="240" w:lineRule="auto"/>
        <w:ind w:right="360"/>
        <w:jc w:val="both"/>
        <w:rPr>
          <w:rFonts w:ascii="Times New Roman" w:eastAsia="Times New Roman" w:hAnsi="Times New Roman" w:cs="Times New Roman"/>
          <w:snapToGrid w:val="0"/>
          <w:sz w:val="24"/>
          <w:szCs w:val="24"/>
          <w:lang w:val="en-GB"/>
        </w:rPr>
      </w:pPr>
    </w:p>
    <w:p w14:paraId="62E86E84" w14:textId="77777777" w:rsidR="005B73B4" w:rsidRPr="003B5F16" w:rsidRDefault="005B73B4" w:rsidP="005B73B4">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9636C1">
        <w:rPr>
          <w:rFonts w:ascii="Times New Roman" w:eastAsia="Times New Roman" w:hAnsi="Times New Roman" w:cs="Times New Roman"/>
          <w:b/>
          <w:snapToGrid w:val="0"/>
          <w:sz w:val="24"/>
          <w:szCs w:val="24"/>
          <w:lang w:val="en-GB"/>
        </w:rPr>
        <w:t>Deadline for receipt of applications</w:t>
      </w:r>
      <w:r>
        <w:rPr>
          <w:rFonts w:ascii="Times New Roman" w:eastAsia="Times New Roman" w:hAnsi="Times New Roman" w:cs="Times New Roman"/>
          <w:snapToGrid w:val="0"/>
          <w:sz w:val="24"/>
          <w:szCs w:val="24"/>
          <w:lang w:val="en-GB"/>
        </w:rPr>
        <w:t>: 06/08/2021, 17h00.</w:t>
      </w:r>
    </w:p>
    <w:p w14:paraId="09E4ACC7" w14:textId="77777777" w:rsidR="005B73B4" w:rsidRDefault="005B73B4" w:rsidP="005B73B4">
      <w:pPr>
        <w:jc w:val="both"/>
      </w:pPr>
    </w:p>
    <w:p w14:paraId="24C4F435" w14:textId="77777777" w:rsidR="005B73B4" w:rsidRPr="00E01B9A" w:rsidRDefault="005B73B4" w:rsidP="005B73B4">
      <w:pPr>
        <w:jc w:val="both"/>
        <w:rPr>
          <w:b/>
          <w:sz w:val="24"/>
          <w:szCs w:val="24"/>
        </w:rPr>
      </w:pPr>
      <w:r w:rsidRPr="00E01B9A">
        <w:rPr>
          <w:b/>
          <w:sz w:val="24"/>
          <w:szCs w:val="24"/>
        </w:rPr>
        <w:t xml:space="preserve">Award criterion: </w:t>
      </w:r>
      <w:r>
        <w:t>The evaluation of applications will be based on the best price-quality ratio among compliant applications. Therefore, the components that will be scored the most will be the experience of the expert and professional qualifications. The balance between price and technical offer will be 80% on technical and 20% on financial.</w:t>
      </w:r>
    </w:p>
    <w:p w14:paraId="56324847" w14:textId="77777777" w:rsidR="005B73B4" w:rsidRDefault="005B73B4" w:rsidP="00083109">
      <w:pPr>
        <w:jc w:val="both"/>
        <w:rPr>
          <w:b/>
          <w:sz w:val="24"/>
          <w:szCs w:val="24"/>
        </w:rPr>
      </w:pPr>
    </w:p>
    <w:p w14:paraId="094948D4" w14:textId="2EE4535F" w:rsidR="007831C1" w:rsidRDefault="005B73B4" w:rsidP="007831C1">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r>
        <w:rPr>
          <w:b/>
          <w:sz w:val="24"/>
          <w:szCs w:val="24"/>
        </w:rPr>
        <w:t xml:space="preserve"> </w:t>
      </w:r>
    </w:p>
    <w:p w14:paraId="4CE7B7C0" w14:textId="7026FC7C" w:rsidR="0019250F" w:rsidRPr="003B5F16" w:rsidRDefault="0019250F" w:rsidP="007831C1">
      <w:pPr>
        <w:keepNext/>
        <w:widowControl w:val="0"/>
        <w:autoSpaceDE w:val="0"/>
        <w:autoSpaceDN w:val="0"/>
        <w:spacing w:before="120" w:after="120" w:line="240" w:lineRule="auto"/>
        <w:ind w:right="106"/>
        <w:jc w:val="both"/>
        <w:rPr>
          <w:rFonts w:ascii="Times New Roman" w:eastAsia="Times New Roman" w:hAnsi="Times New Roman" w:cs="Times New Roman"/>
          <w:b/>
          <w:snapToGrid w:val="0"/>
          <w:sz w:val="24"/>
          <w:szCs w:val="24"/>
          <w:lang w:val="en-GB"/>
        </w:rPr>
      </w:pPr>
      <w:bookmarkStart w:id="1" w:name="_GoBack"/>
      <w:bookmarkEnd w:id="1"/>
    </w:p>
    <w:sectPr w:rsidR="0019250F" w:rsidRPr="003B5F16" w:rsidSect="00186742">
      <w:headerReference w:type="default" r:id="rId11"/>
      <w:footerReference w:type="default" r:id="rId12"/>
      <w:pgSz w:w="12240" w:h="15840"/>
      <w:pgMar w:top="136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55FCE" w14:textId="77777777" w:rsidR="00D26769" w:rsidRDefault="00D26769" w:rsidP="00EF5E88">
      <w:pPr>
        <w:spacing w:after="0" w:line="240" w:lineRule="auto"/>
      </w:pPr>
      <w:r>
        <w:separator/>
      </w:r>
    </w:p>
  </w:endnote>
  <w:endnote w:type="continuationSeparator" w:id="0">
    <w:p w14:paraId="7794E91F" w14:textId="77777777" w:rsidR="00D26769" w:rsidRDefault="00D2676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B1A7" w14:textId="77777777" w:rsidR="00840253" w:rsidRPr="003119CF" w:rsidRDefault="00840253" w:rsidP="00840253">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617710A8" w14:textId="77777777" w:rsidR="00840253" w:rsidRPr="003119CF" w:rsidRDefault="00840253" w:rsidP="00840253">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Rruga « Skënderbej » 8/2/2, Tirana 1000, Albania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FC6F7B1" w14:textId="77777777" w:rsidR="00840253" w:rsidRPr="003119CF" w:rsidRDefault="00840253" w:rsidP="00840253">
    <w:pPr>
      <w:tabs>
        <w:tab w:val="center" w:pos="4320"/>
        <w:tab w:val="right" w:pos="8640"/>
      </w:tabs>
      <w:spacing w:before="120" w:after="120"/>
      <w:rPr>
        <w:snapToGrid w:val="0"/>
        <w:lang w:val="sv-SE"/>
      </w:rPr>
    </w:pPr>
  </w:p>
  <w:p w14:paraId="48F7B87F" w14:textId="77777777" w:rsidR="00840253" w:rsidRDefault="00840253" w:rsidP="008402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58DE" w14:textId="77777777" w:rsidR="00D26769" w:rsidRDefault="00D26769" w:rsidP="00EF5E88">
      <w:pPr>
        <w:spacing w:after="0" w:line="240" w:lineRule="auto"/>
      </w:pPr>
      <w:r>
        <w:separator/>
      </w:r>
    </w:p>
  </w:footnote>
  <w:footnote w:type="continuationSeparator" w:id="0">
    <w:p w14:paraId="164EFD53" w14:textId="77777777" w:rsidR="00D26769" w:rsidRDefault="00D26769" w:rsidP="00EF5E88">
      <w:pPr>
        <w:spacing w:after="0" w:line="240" w:lineRule="auto"/>
      </w:pPr>
      <w:r>
        <w:continuationSeparator/>
      </w:r>
    </w:p>
  </w:footnote>
  <w:footnote w:id="1">
    <w:p w14:paraId="78994998" w14:textId="77777777" w:rsidR="00083109" w:rsidRDefault="00083109" w:rsidP="00083109">
      <w:pPr>
        <w:spacing w:line="240" w:lineRule="auto"/>
        <w:rPr>
          <w:sz w:val="24"/>
          <w:szCs w:val="24"/>
          <w:vertAlign w:val="superscript"/>
        </w:rPr>
      </w:pPr>
      <w:r>
        <w:rPr>
          <w:vertAlign w:val="superscript"/>
        </w:rPr>
        <w:footnoteRef/>
      </w:r>
      <w:r>
        <w:rPr>
          <w:sz w:val="24"/>
          <w:szCs w:val="24"/>
          <w:vertAlign w:val="superscript"/>
        </w:rPr>
        <w:t xml:space="preserve"> This timeline may be a subject to change upon the overall project timelines, challenges and delays.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3D09BAF7" w:rsidR="00391B98" w:rsidRDefault="00391B98" w:rsidP="00C71C1E">
    <w:pPr>
      <w:pStyle w:val="Header"/>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45D"/>
    <w:multiLevelType w:val="multilevel"/>
    <w:tmpl w:val="FC7E1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F6B61"/>
    <w:multiLevelType w:val="multilevel"/>
    <w:tmpl w:val="715EB14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BE4BA9"/>
    <w:multiLevelType w:val="multilevel"/>
    <w:tmpl w:val="C5B2F6B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615C8D"/>
    <w:multiLevelType w:val="multilevel"/>
    <w:tmpl w:val="CD5E1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5" w15:restartNumberingAfterBreak="0">
    <w:nsid w:val="06C319C5"/>
    <w:multiLevelType w:val="multilevel"/>
    <w:tmpl w:val="934EA9A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3356C1"/>
    <w:multiLevelType w:val="multilevel"/>
    <w:tmpl w:val="E1309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CD20205"/>
    <w:multiLevelType w:val="multilevel"/>
    <w:tmpl w:val="5686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1E0ED0"/>
    <w:multiLevelType w:val="multilevel"/>
    <w:tmpl w:val="F89E5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1139BD"/>
    <w:multiLevelType w:val="multilevel"/>
    <w:tmpl w:val="884C47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419DD"/>
    <w:multiLevelType w:val="multilevel"/>
    <w:tmpl w:val="AC303C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AA57495"/>
    <w:multiLevelType w:val="multilevel"/>
    <w:tmpl w:val="8FAC5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D978C2"/>
    <w:multiLevelType w:val="multilevel"/>
    <w:tmpl w:val="203284AC"/>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05637B"/>
    <w:multiLevelType w:val="hybridMultilevel"/>
    <w:tmpl w:val="B964C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2DB57BA"/>
    <w:multiLevelType w:val="multilevel"/>
    <w:tmpl w:val="A874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95A11BD"/>
    <w:multiLevelType w:val="multilevel"/>
    <w:tmpl w:val="61BCC526"/>
    <w:lvl w:ilvl="0">
      <w:start w:val="1"/>
      <w:numFmt w:val="upperRoman"/>
      <w:lvlText w:val="%1."/>
      <w:lvlJc w:val="left"/>
      <w:pPr>
        <w:ind w:left="1080" w:hanging="720"/>
      </w:pPr>
      <w:rPr>
        <w:rFonts w:ascii="Arial" w:eastAsia="Arial" w:hAnsi="Arial" w:cs="Arial"/>
        <w:b/>
        <w:color w:val="0D0D0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855ABF"/>
    <w:multiLevelType w:val="multilevel"/>
    <w:tmpl w:val="49386F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ED017DE"/>
    <w:multiLevelType w:val="hybridMultilevel"/>
    <w:tmpl w:val="740E9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57D97"/>
    <w:multiLevelType w:val="multilevel"/>
    <w:tmpl w:val="AE3E289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5A689F"/>
    <w:multiLevelType w:val="multilevel"/>
    <w:tmpl w:val="CECC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4" w15:restartNumberingAfterBreak="0">
    <w:nsid w:val="39F520AE"/>
    <w:multiLevelType w:val="hybridMultilevel"/>
    <w:tmpl w:val="5C048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24C12"/>
    <w:multiLevelType w:val="multilevel"/>
    <w:tmpl w:val="37AAFF3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7" w15:restartNumberingAfterBreak="0">
    <w:nsid w:val="45FF0534"/>
    <w:multiLevelType w:val="multilevel"/>
    <w:tmpl w:val="B292118A"/>
    <w:lvl w:ilvl="0">
      <w:start w:val="1"/>
      <w:numFmt w:val="lowerLetter"/>
      <w:lvlText w:val="%1."/>
      <w:lvlJc w:val="left"/>
      <w:pPr>
        <w:ind w:left="820" w:hanging="360"/>
      </w:pPr>
      <w:rPr>
        <w:rFonts w:ascii="Carlito" w:eastAsia="Carlito" w:hAnsi="Carlito" w:cs="Carlito"/>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28" w15:restartNumberingAfterBreak="0">
    <w:nsid w:val="49185557"/>
    <w:multiLevelType w:val="multilevel"/>
    <w:tmpl w:val="4A7E4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6728FC"/>
    <w:multiLevelType w:val="multilevel"/>
    <w:tmpl w:val="2E68A5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4E0B372E"/>
    <w:multiLevelType w:val="multilevel"/>
    <w:tmpl w:val="1CE4B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174CFC"/>
    <w:multiLevelType w:val="multilevel"/>
    <w:tmpl w:val="40126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5254434"/>
    <w:multiLevelType w:val="multilevel"/>
    <w:tmpl w:val="84FE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8F155E1"/>
    <w:multiLevelType w:val="multilevel"/>
    <w:tmpl w:val="E026C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A802E9E"/>
    <w:multiLevelType w:val="multilevel"/>
    <w:tmpl w:val="24788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3B55BFB"/>
    <w:multiLevelType w:val="multilevel"/>
    <w:tmpl w:val="FBFA2E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582862"/>
    <w:multiLevelType w:val="multilevel"/>
    <w:tmpl w:val="F9060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893240C"/>
    <w:multiLevelType w:val="multilevel"/>
    <w:tmpl w:val="4E8E2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6A806C52"/>
    <w:multiLevelType w:val="multilevel"/>
    <w:tmpl w:val="CABC136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2D93B06"/>
    <w:multiLevelType w:val="multilevel"/>
    <w:tmpl w:val="3A006A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D6B51"/>
    <w:multiLevelType w:val="multilevel"/>
    <w:tmpl w:val="7D50D72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23"/>
  </w:num>
  <w:num w:numId="3">
    <w:abstractNumId w:val="40"/>
  </w:num>
  <w:num w:numId="4">
    <w:abstractNumId w:val="36"/>
  </w:num>
  <w:num w:numId="5">
    <w:abstractNumId w:val="17"/>
  </w:num>
  <w:num w:numId="6">
    <w:abstractNumId w:val="44"/>
  </w:num>
  <w:num w:numId="7">
    <w:abstractNumId w:val="30"/>
  </w:num>
  <w:num w:numId="8">
    <w:abstractNumId w:val="42"/>
  </w:num>
  <w:num w:numId="9">
    <w:abstractNumId w:val="10"/>
  </w:num>
  <w:num w:numId="10">
    <w:abstractNumId w:val="15"/>
  </w:num>
  <w:num w:numId="11">
    <w:abstractNumId w:val="4"/>
  </w:num>
  <w:num w:numId="12">
    <w:abstractNumId w:val="20"/>
  </w:num>
  <w:num w:numId="13">
    <w:abstractNumId w:val="27"/>
  </w:num>
  <w:num w:numId="14">
    <w:abstractNumId w:val="24"/>
  </w:num>
  <w:num w:numId="15">
    <w:abstractNumId w:val="13"/>
  </w:num>
  <w:num w:numId="16">
    <w:abstractNumId w:val="18"/>
  </w:num>
  <w:num w:numId="17">
    <w:abstractNumId w:val="43"/>
  </w:num>
  <w:num w:numId="18">
    <w:abstractNumId w:val="2"/>
  </w:num>
  <w:num w:numId="19">
    <w:abstractNumId w:val="14"/>
  </w:num>
  <w:num w:numId="20">
    <w:abstractNumId w:val="7"/>
  </w:num>
  <w:num w:numId="21">
    <w:abstractNumId w:val="29"/>
  </w:num>
  <w:num w:numId="22">
    <w:abstractNumId w:val="25"/>
  </w:num>
  <w:num w:numId="23">
    <w:abstractNumId w:val="39"/>
  </w:num>
  <w:num w:numId="24">
    <w:abstractNumId w:val="8"/>
  </w:num>
  <w:num w:numId="25">
    <w:abstractNumId w:val="19"/>
  </w:num>
  <w:num w:numId="26">
    <w:abstractNumId w:val="45"/>
  </w:num>
  <w:num w:numId="27">
    <w:abstractNumId w:val="33"/>
  </w:num>
  <w:num w:numId="28">
    <w:abstractNumId w:val="32"/>
  </w:num>
  <w:num w:numId="29">
    <w:abstractNumId w:val="9"/>
  </w:num>
  <w:num w:numId="30">
    <w:abstractNumId w:val="21"/>
  </w:num>
  <w:num w:numId="31">
    <w:abstractNumId w:val="28"/>
  </w:num>
  <w:num w:numId="32">
    <w:abstractNumId w:val="31"/>
  </w:num>
  <w:num w:numId="33">
    <w:abstractNumId w:val="3"/>
  </w:num>
  <w:num w:numId="34">
    <w:abstractNumId w:val="41"/>
  </w:num>
  <w:num w:numId="35">
    <w:abstractNumId w:val="12"/>
  </w:num>
  <w:num w:numId="36">
    <w:abstractNumId w:val="16"/>
  </w:num>
  <w:num w:numId="37">
    <w:abstractNumId w:val="35"/>
  </w:num>
  <w:num w:numId="38">
    <w:abstractNumId w:val="5"/>
  </w:num>
  <w:num w:numId="39">
    <w:abstractNumId w:val="38"/>
  </w:num>
  <w:num w:numId="40">
    <w:abstractNumId w:val="34"/>
  </w:num>
  <w:num w:numId="41">
    <w:abstractNumId w:val="11"/>
  </w:num>
  <w:num w:numId="42">
    <w:abstractNumId w:val="1"/>
  </w:num>
  <w:num w:numId="43">
    <w:abstractNumId w:val="37"/>
  </w:num>
  <w:num w:numId="44">
    <w:abstractNumId w:val="6"/>
  </w:num>
  <w:num w:numId="45">
    <w:abstractNumId w:val="0"/>
  </w:num>
  <w:num w:numId="4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1FAC"/>
    <w:rsid w:val="00006DA5"/>
    <w:rsid w:val="0002241B"/>
    <w:rsid w:val="0002394B"/>
    <w:rsid w:val="00025FA4"/>
    <w:rsid w:val="000279F1"/>
    <w:rsid w:val="000509A0"/>
    <w:rsid w:val="00055054"/>
    <w:rsid w:val="00056924"/>
    <w:rsid w:val="000675EB"/>
    <w:rsid w:val="00070870"/>
    <w:rsid w:val="00083109"/>
    <w:rsid w:val="00084A0E"/>
    <w:rsid w:val="000911E9"/>
    <w:rsid w:val="000A4811"/>
    <w:rsid w:val="000B4457"/>
    <w:rsid w:val="000B68E8"/>
    <w:rsid w:val="000D3124"/>
    <w:rsid w:val="000D39D3"/>
    <w:rsid w:val="000D3BE6"/>
    <w:rsid w:val="000E14AB"/>
    <w:rsid w:val="00104FC3"/>
    <w:rsid w:val="0011056B"/>
    <w:rsid w:val="00111932"/>
    <w:rsid w:val="00125215"/>
    <w:rsid w:val="00130D13"/>
    <w:rsid w:val="001342D0"/>
    <w:rsid w:val="00141434"/>
    <w:rsid w:val="00144810"/>
    <w:rsid w:val="00146440"/>
    <w:rsid w:val="00147C99"/>
    <w:rsid w:val="00165B81"/>
    <w:rsid w:val="001749BA"/>
    <w:rsid w:val="00186742"/>
    <w:rsid w:val="0019250F"/>
    <w:rsid w:val="00195026"/>
    <w:rsid w:val="00197142"/>
    <w:rsid w:val="001A1C9E"/>
    <w:rsid w:val="001C79E6"/>
    <w:rsid w:val="001D25FE"/>
    <w:rsid w:val="001D3898"/>
    <w:rsid w:val="001D3F02"/>
    <w:rsid w:val="001D6D97"/>
    <w:rsid w:val="001F7043"/>
    <w:rsid w:val="00205FB3"/>
    <w:rsid w:val="00206EB3"/>
    <w:rsid w:val="002161CA"/>
    <w:rsid w:val="00221197"/>
    <w:rsid w:val="0023199A"/>
    <w:rsid w:val="002320C2"/>
    <w:rsid w:val="00234728"/>
    <w:rsid w:val="00245F24"/>
    <w:rsid w:val="0025225B"/>
    <w:rsid w:val="00292B1C"/>
    <w:rsid w:val="00297AF4"/>
    <w:rsid w:val="002A584B"/>
    <w:rsid w:val="002B0609"/>
    <w:rsid w:val="002D356E"/>
    <w:rsid w:val="002E5BDF"/>
    <w:rsid w:val="0031662D"/>
    <w:rsid w:val="003237C6"/>
    <w:rsid w:val="00326BC8"/>
    <w:rsid w:val="00331045"/>
    <w:rsid w:val="00332529"/>
    <w:rsid w:val="00360E0D"/>
    <w:rsid w:val="00382BF8"/>
    <w:rsid w:val="00391B98"/>
    <w:rsid w:val="003939F2"/>
    <w:rsid w:val="00397D84"/>
    <w:rsid w:val="003B5F16"/>
    <w:rsid w:val="003C54A9"/>
    <w:rsid w:val="003E1E0A"/>
    <w:rsid w:val="003E5E93"/>
    <w:rsid w:val="004220EA"/>
    <w:rsid w:val="00431225"/>
    <w:rsid w:val="00441F7E"/>
    <w:rsid w:val="00445EAF"/>
    <w:rsid w:val="004709A5"/>
    <w:rsid w:val="0047568C"/>
    <w:rsid w:val="0048217A"/>
    <w:rsid w:val="00487D4F"/>
    <w:rsid w:val="0049291A"/>
    <w:rsid w:val="004A6ABC"/>
    <w:rsid w:val="004C5085"/>
    <w:rsid w:val="004D1C24"/>
    <w:rsid w:val="004D32A9"/>
    <w:rsid w:val="004E0122"/>
    <w:rsid w:val="004E10CD"/>
    <w:rsid w:val="00503091"/>
    <w:rsid w:val="00526EAC"/>
    <w:rsid w:val="00536C33"/>
    <w:rsid w:val="005466B0"/>
    <w:rsid w:val="0055217F"/>
    <w:rsid w:val="00582D14"/>
    <w:rsid w:val="00582FB4"/>
    <w:rsid w:val="00584ABB"/>
    <w:rsid w:val="005930D0"/>
    <w:rsid w:val="005B73B4"/>
    <w:rsid w:val="005D3C62"/>
    <w:rsid w:val="005F0880"/>
    <w:rsid w:val="006004C4"/>
    <w:rsid w:val="00600B07"/>
    <w:rsid w:val="00606B48"/>
    <w:rsid w:val="00612BE1"/>
    <w:rsid w:val="00615F1B"/>
    <w:rsid w:val="006166D1"/>
    <w:rsid w:val="00623EF8"/>
    <w:rsid w:val="0063193D"/>
    <w:rsid w:val="006376C7"/>
    <w:rsid w:val="006434DF"/>
    <w:rsid w:val="00643901"/>
    <w:rsid w:val="00645C25"/>
    <w:rsid w:val="006474CB"/>
    <w:rsid w:val="0065782F"/>
    <w:rsid w:val="006658AB"/>
    <w:rsid w:val="00676596"/>
    <w:rsid w:val="006A0C03"/>
    <w:rsid w:val="006A4EC9"/>
    <w:rsid w:val="006B0101"/>
    <w:rsid w:val="006B6CFE"/>
    <w:rsid w:val="006E49F7"/>
    <w:rsid w:val="0070570F"/>
    <w:rsid w:val="00727824"/>
    <w:rsid w:val="00734543"/>
    <w:rsid w:val="00742552"/>
    <w:rsid w:val="007639CE"/>
    <w:rsid w:val="00772A0A"/>
    <w:rsid w:val="007831C1"/>
    <w:rsid w:val="00793B6A"/>
    <w:rsid w:val="00794738"/>
    <w:rsid w:val="00797945"/>
    <w:rsid w:val="007A4C17"/>
    <w:rsid w:val="007C1508"/>
    <w:rsid w:val="007C20FF"/>
    <w:rsid w:val="007D47FC"/>
    <w:rsid w:val="007E5F69"/>
    <w:rsid w:val="007F7BD4"/>
    <w:rsid w:val="00802E29"/>
    <w:rsid w:val="008133C5"/>
    <w:rsid w:val="00816636"/>
    <w:rsid w:val="00820571"/>
    <w:rsid w:val="0082411D"/>
    <w:rsid w:val="00831E75"/>
    <w:rsid w:val="00835E2B"/>
    <w:rsid w:val="00840253"/>
    <w:rsid w:val="0086359B"/>
    <w:rsid w:val="0086513A"/>
    <w:rsid w:val="00883369"/>
    <w:rsid w:val="00883690"/>
    <w:rsid w:val="008903D7"/>
    <w:rsid w:val="00890D61"/>
    <w:rsid w:val="00894790"/>
    <w:rsid w:val="008A3633"/>
    <w:rsid w:val="008B6978"/>
    <w:rsid w:val="008D6A96"/>
    <w:rsid w:val="008E1AEE"/>
    <w:rsid w:val="008E71D0"/>
    <w:rsid w:val="008F71E1"/>
    <w:rsid w:val="00914E13"/>
    <w:rsid w:val="009166D7"/>
    <w:rsid w:val="00916FAD"/>
    <w:rsid w:val="00922E1E"/>
    <w:rsid w:val="0093270B"/>
    <w:rsid w:val="0093550E"/>
    <w:rsid w:val="009516E4"/>
    <w:rsid w:val="0095610D"/>
    <w:rsid w:val="00962804"/>
    <w:rsid w:val="009636C1"/>
    <w:rsid w:val="00964265"/>
    <w:rsid w:val="009702A0"/>
    <w:rsid w:val="00982D9A"/>
    <w:rsid w:val="00983305"/>
    <w:rsid w:val="009A5E7A"/>
    <w:rsid w:val="009B4205"/>
    <w:rsid w:val="009C3AF8"/>
    <w:rsid w:val="009C6723"/>
    <w:rsid w:val="009C76CE"/>
    <w:rsid w:val="009E0A1A"/>
    <w:rsid w:val="00A12725"/>
    <w:rsid w:val="00A20F3A"/>
    <w:rsid w:val="00A22872"/>
    <w:rsid w:val="00A23022"/>
    <w:rsid w:val="00A3134B"/>
    <w:rsid w:val="00A55B16"/>
    <w:rsid w:val="00A63EB0"/>
    <w:rsid w:val="00A6499D"/>
    <w:rsid w:val="00A7534C"/>
    <w:rsid w:val="00A775CE"/>
    <w:rsid w:val="00A91AFA"/>
    <w:rsid w:val="00AA2A48"/>
    <w:rsid w:val="00B02467"/>
    <w:rsid w:val="00B40997"/>
    <w:rsid w:val="00B71A26"/>
    <w:rsid w:val="00B90F62"/>
    <w:rsid w:val="00B926CC"/>
    <w:rsid w:val="00B938B0"/>
    <w:rsid w:val="00BB0639"/>
    <w:rsid w:val="00BB1A2E"/>
    <w:rsid w:val="00BB729D"/>
    <w:rsid w:val="00BC2D58"/>
    <w:rsid w:val="00BD6963"/>
    <w:rsid w:val="00BE0F6C"/>
    <w:rsid w:val="00BE7450"/>
    <w:rsid w:val="00BE795E"/>
    <w:rsid w:val="00BE7A67"/>
    <w:rsid w:val="00C0431F"/>
    <w:rsid w:val="00C049A5"/>
    <w:rsid w:val="00C13B6D"/>
    <w:rsid w:val="00C231DE"/>
    <w:rsid w:val="00C23AEB"/>
    <w:rsid w:val="00C25109"/>
    <w:rsid w:val="00C27606"/>
    <w:rsid w:val="00C30557"/>
    <w:rsid w:val="00C71C1E"/>
    <w:rsid w:val="00C9065D"/>
    <w:rsid w:val="00CA381B"/>
    <w:rsid w:val="00CA6953"/>
    <w:rsid w:val="00CB768D"/>
    <w:rsid w:val="00CC2340"/>
    <w:rsid w:val="00CE21D2"/>
    <w:rsid w:val="00D03AF9"/>
    <w:rsid w:val="00D1527C"/>
    <w:rsid w:val="00D20F6B"/>
    <w:rsid w:val="00D215AC"/>
    <w:rsid w:val="00D26769"/>
    <w:rsid w:val="00D33707"/>
    <w:rsid w:val="00D3610C"/>
    <w:rsid w:val="00D405C5"/>
    <w:rsid w:val="00D6200E"/>
    <w:rsid w:val="00D630A2"/>
    <w:rsid w:val="00D63427"/>
    <w:rsid w:val="00D9425D"/>
    <w:rsid w:val="00D95EBD"/>
    <w:rsid w:val="00DB39FB"/>
    <w:rsid w:val="00DD4551"/>
    <w:rsid w:val="00DD557E"/>
    <w:rsid w:val="00DF1ED6"/>
    <w:rsid w:val="00DF24E4"/>
    <w:rsid w:val="00DF6108"/>
    <w:rsid w:val="00E01B9A"/>
    <w:rsid w:val="00E045B8"/>
    <w:rsid w:val="00E06FBA"/>
    <w:rsid w:val="00E07F2A"/>
    <w:rsid w:val="00E113C2"/>
    <w:rsid w:val="00E15990"/>
    <w:rsid w:val="00E15B3A"/>
    <w:rsid w:val="00E319D5"/>
    <w:rsid w:val="00E36CEB"/>
    <w:rsid w:val="00E611CF"/>
    <w:rsid w:val="00E743CE"/>
    <w:rsid w:val="00EA136C"/>
    <w:rsid w:val="00EB1E4C"/>
    <w:rsid w:val="00EB203E"/>
    <w:rsid w:val="00EB5B64"/>
    <w:rsid w:val="00EC0D4E"/>
    <w:rsid w:val="00EC213E"/>
    <w:rsid w:val="00ED7A8E"/>
    <w:rsid w:val="00EE113A"/>
    <w:rsid w:val="00EE75C1"/>
    <w:rsid w:val="00EF478F"/>
    <w:rsid w:val="00EF5E88"/>
    <w:rsid w:val="00F00F87"/>
    <w:rsid w:val="00F06EFD"/>
    <w:rsid w:val="00F12853"/>
    <w:rsid w:val="00F21D3F"/>
    <w:rsid w:val="00F343B9"/>
    <w:rsid w:val="00F61ADB"/>
    <w:rsid w:val="00F6723E"/>
    <w:rsid w:val="00F802E8"/>
    <w:rsid w:val="00FA498B"/>
    <w:rsid w:val="00FA7A21"/>
    <w:rsid w:val="00FB7821"/>
    <w:rsid w:val="00FC0CCA"/>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48868">
      <w:bodyDiv w:val="1"/>
      <w:marLeft w:val="0"/>
      <w:marRight w:val="0"/>
      <w:marTop w:val="0"/>
      <w:marBottom w:val="0"/>
      <w:divBdr>
        <w:top w:val="none" w:sz="0" w:space="0" w:color="auto"/>
        <w:left w:val="none" w:sz="0" w:space="0" w:color="auto"/>
        <w:bottom w:val="none" w:sz="0" w:space="0" w:color="auto"/>
        <w:right w:val="none" w:sz="0" w:space="0" w:color="auto"/>
      </w:divBdr>
      <w:divsChild>
        <w:div w:id="379332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171040">
                  <w:marLeft w:val="0"/>
                  <w:marRight w:val="0"/>
                  <w:marTop w:val="0"/>
                  <w:marBottom w:val="0"/>
                  <w:divBdr>
                    <w:top w:val="none" w:sz="0" w:space="0" w:color="auto"/>
                    <w:left w:val="none" w:sz="0" w:space="0" w:color="auto"/>
                    <w:bottom w:val="none" w:sz="0" w:space="0" w:color="auto"/>
                    <w:right w:val="none" w:sz="0" w:space="0" w:color="auto"/>
                  </w:divBdr>
                  <w:divsChild>
                    <w:div w:id="1260871342">
                      <w:marLeft w:val="0"/>
                      <w:marRight w:val="0"/>
                      <w:marTop w:val="0"/>
                      <w:marBottom w:val="0"/>
                      <w:divBdr>
                        <w:top w:val="none" w:sz="0" w:space="0" w:color="auto"/>
                        <w:left w:val="none" w:sz="0" w:space="0" w:color="auto"/>
                        <w:bottom w:val="none" w:sz="0" w:space="0" w:color="auto"/>
                        <w:right w:val="none" w:sz="0" w:space="0" w:color="auto"/>
                      </w:divBdr>
                      <w:divsChild>
                        <w:div w:id="1883446009">
                          <w:marLeft w:val="0"/>
                          <w:marRight w:val="0"/>
                          <w:marTop w:val="0"/>
                          <w:marBottom w:val="0"/>
                          <w:divBdr>
                            <w:top w:val="none" w:sz="0" w:space="0" w:color="auto"/>
                            <w:left w:val="none" w:sz="0" w:space="0" w:color="auto"/>
                            <w:bottom w:val="none" w:sz="0" w:space="0" w:color="auto"/>
                            <w:right w:val="none" w:sz="0" w:space="0" w:color="auto"/>
                          </w:divBdr>
                          <w:divsChild>
                            <w:div w:id="569270412">
                              <w:marLeft w:val="0"/>
                              <w:marRight w:val="0"/>
                              <w:marTop w:val="0"/>
                              <w:marBottom w:val="0"/>
                              <w:divBdr>
                                <w:top w:val="none" w:sz="0" w:space="0" w:color="auto"/>
                                <w:left w:val="none" w:sz="0" w:space="0" w:color="auto"/>
                                <w:bottom w:val="none" w:sz="0" w:space="0" w:color="auto"/>
                                <w:right w:val="none" w:sz="0" w:space="0" w:color="auto"/>
                              </w:divBdr>
                              <w:divsChild>
                                <w:div w:id="1242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CBBBF-2326-45A6-BE1E-358FBCF84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2021-07-27T13:44:00Z</dcterms:created>
  <dcterms:modified xsi:type="dcterms:W3CDTF">2021-07-30T10:51:00Z</dcterms:modified>
</cp:coreProperties>
</file>