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0E3703E4" w:rsidR="00E0522E" w:rsidRPr="00230BC4" w:rsidRDefault="00615162" w:rsidP="00615162">
      <w:pPr>
        <w:jc w:val="center"/>
        <w:rPr>
          <w:rFonts w:ascii="Arial" w:hAnsi="Arial" w:cs="Arial"/>
          <w:b/>
        </w:rPr>
      </w:pPr>
      <w:r w:rsidRPr="00230BC4">
        <w:rPr>
          <w:rFonts w:ascii="Arial" w:hAnsi="Arial" w:cs="Arial"/>
          <w:b/>
        </w:rPr>
        <w:t xml:space="preserve"> “Framework agreement for the provision of travel management and other related services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964412">
        <w:rPr>
          <w:rFonts w:ascii="Arial" w:hAnsi="Arial" w:cs="Arial"/>
          <w:b/>
        </w:rPr>
        <w:t>in North Macedonia</w:t>
      </w:r>
      <w:r w:rsidR="00F27190">
        <w:rPr>
          <w:rFonts w:ascii="Arial" w:hAnsi="Arial" w:cs="Arial"/>
          <w:b/>
        </w:rPr>
        <w:t>”</w:t>
      </w:r>
    </w:p>
    <w:p w14:paraId="0A7D85F0" w14:textId="4BABF3F2" w:rsidR="00B40997" w:rsidRPr="00230BC4" w:rsidRDefault="00B40997" w:rsidP="00EA0A4F">
      <w:pPr>
        <w:pStyle w:val="BodyText"/>
        <w:jc w:val="center"/>
        <w:rPr>
          <w:rFonts w:ascii="Arial" w:hAnsi="Arial" w:cs="Arial"/>
          <w:b/>
        </w:rPr>
      </w:pPr>
      <w:bookmarkStart w:id="0" w:name="_Hlk72326276"/>
      <w:r w:rsidRPr="00230BC4">
        <w:rPr>
          <w:rFonts w:ascii="Arial" w:hAnsi="Arial" w:cs="Arial"/>
          <w:b/>
        </w:rPr>
        <w:t>LOT 1-</w:t>
      </w:r>
      <w:r w:rsidR="00CC1B6B" w:rsidRPr="00230BC4">
        <w:rPr>
          <w:rFonts w:ascii="Arial" w:hAnsi="Arial" w:cs="Arial"/>
          <w:b/>
        </w:rPr>
        <w:t xml:space="preserve"> “</w:t>
      </w:r>
      <w:r w:rsidR="00314CE7" w:rsidRPr="00230BC4">
        <w:rPr>
          <w:rFonts w:ascii="Arial" w:hAnsi="Arial" w:cs="Arial"/>
          <w:b/>
        </w:rPr>
        <w:t>T</w:t>
      </w:r>
      <w:r w:rsidR="00615162" w:rsidRPr="00230BC4">
        <w:rPr>
          <w:rFonts w:ascii="Arial" w:hAnsi="Arial" w:cs="Arial"/>
          <w:b/>
        </w:rPr>
        <w:t>ravel arrangements for</w:t>
      </w:r>
      <w:r w:rsidR="006324AE">
        <w:rPr>
          <w:rFonts w:ascii="Arial" w:hAnsi="Arial" w:cs="Arial"/>
          <w:b/>
        </w:rPr>
        <w:t xml:space="preserve"> the Local Branch Office of the</w:t>
      </w:r>
      <w:r w:rsidR="00615162" w:rsidRPr="00230BC4">
        <w:rPr>
          <w:rFonts w:ascii="Arial" w:hAnsi="Arial" w:cs="Arial"/>
          <w:b/>
        </w:rPr>
        <w:t xml:space="preserve"> Regional Youth Cooperation Office (RYCO), </w:t>
      </w:r>
      <w:r w:rsidR="006324AE">
        <w:rPr>
          <w:rFonts w:ascii="Arial" w:hAnsi="Arial" w:cs="Arial"/>
          <w:b/>
        </w:rPr>
        <w:t>in</w:t>
      </w:r>
      <w:r w:rsidR="00F27190">
        <w:rPr>
          <w:rFonts w:ascii="Arial" w:hAnsi="Arial" w:cs="Arial"/>
          <w:b/>
        </w:rPr>
        <w:t xml:space="preserve"> </w:t>
      </w:r>
      <w:r w:rsidR="00964412">
        <w:rPr>
          <w:rFonts w:ascii="Arial" w:hAnsi="Arial" w:cs="Arial"/>
          <w:b/>
        </w:rPr>
        <w:t>North Macedonia</w:t>
      </w:r>
      <w:r w:rsidR="00CC1B6B" w:rsidRPr="00230BC4">
        <w:rPr>
          <w:rFonts w:ascii="Arial" w:hAnsi="Arial" w:cs="Arial"/>
          <w:b/>
        </w:rPr>
        <w:t>”</w:t>
      </w:r>
    </w:p>
    <w:p w14:paraId="63D7755E" w14:textId="4C5EE3B9" w:rsidR="00B40997" w:rsidRPr="00230BC4" w:rsidRDefault="00B40997" w:rsidP="00EA0A4F">
      <w:pPr>
        <w:pStyle w:val="BodyText"/>
        <w:jc w:val="center"/>
        <w:rPr>
          <w:rFonts w:ascii="Arial" w:hAnsi="Arial" w:cs="Arial"/>
          <w:b/>
        </w:rPr>
      </w:pPr>
      <w:r w:rsidRPr="00230BC4">
        <w:rPr>
          <w:rFonts w:ascii="Arial" w:hAnsi="Arial" w:cs="Arial"/>
          <w:b/>
        </w:rPr>
        <w:t>LOT 2</w:t>
      </w:r>
      <w:r w:rsidR="00CC1B6B" w:rsidRPr="00230BC4">
        <w:rPr>
          <w:rFonts w:ascii="Arial" w:hAnsi="Arial" w:cs="Arial"/>
          <w:b/>
        </w:rPr>
        <w:t>- “</w:t>
      </w:r>
      <w:r w:rsidR="00314CE7" w:rsidRPr="00230BC4">
        <w:rPr>
          <w:rFonts w:ascii="Arial" w:hAnsi="Arial" w:cs="Arial"/>
          <w:b/>
        </w:rPr>
        <w:t>A</w:t>
      </w:r>
      <w:r w:rsidR="00615162" w:rsidRPr="00230BC4">
        <w:rPr>
          <w:rFonts w:ascii="Arial" w:hAnsi="Arial" w:cs="Arial"/>
          <w:b/>
        </w:rPr>
        <w:t>ccommodation, event management and external expertize</w:t>
      </w:r>
      <w:r w:rsidR="00314CE7" w:rsidRPr="00230BC4">
        <w:rPr>
          <w:rFonts w:ascii="Arial" w:hAnsi="Arial" w:cs="Arial"/>
          <w:b/>
        </w:rPr>
        <w:t xml:space="preserve"> services</w:t>
      </w:r>
      <w:r w:rsidR="00EA0A4F" w:rsidRPr="00EA0A4F">
        <w:rPr>
          <w:rFonts w:ascii="Arial" w:hAnsi="Arial" w:cs="Arial"/>
          <w:b/>
        </w:rPr>
        <w:t xml:space="preserve"> </w:t>
      </w:r>
      <w:r w:rsidR="00EA0A4F" w:rsidRPr="00230BC4">
        <w:rPr>
          <w:rFonts w:ascii="Arial" w:hAnsi="Arial" w:cs="Arial"/>
          <w:b/>
        </w:rPr>
        <w:t xml:space="preserve">for the </w:t>
      </w:r>
      <w:r w:rsidR="00EA0A4F">
        <w:rPr>
          <w:rFonts w:ascii="Arial" w:hAnsi="Arial" w:cs="Arial"/>
          <w:b/>
        </w:rPr>
        <w:t xml:space="preserve">Local Branch Office of the </w:t>
      </w:r>
      <w:r w:rsidR="00EA0A4F" w:rsidRPr="00230BC4">
        <w:rPr>
          <w:rFonts w:ascii="Arial" w:hAnsi="Arial" w:cs="Arial"/>
          <w:b/>
        </w:rPr>
        <w:t>Regional Youth Cooperation</w:t>
      </w:r>
      <w:r w:rsidR="00EA0A4F">
        <w:rPr>
          <w:rFonts w:ascii="Arial" w:hAnsi="Arial" w:cs="Arial"/>
          <w:b/>
        </w:rPr>
        <w:t xml:space="preserve"> Office (RYCO), in</w:t>
      </w:r>
      <w:r w:rsidR="00964412">
        <w:rPr>
          <w:rFonts w:ascii="Arial" w:hAnsi="Arial" w:cs="Arial"/>
          <w:b/>
        </w:rPr>
        <w:t xml:space="preserve"> North Macedonia</w:t>
      </w:r>
      <w:r w:rsidR="00CC1B6B" w:rsidRPr="00230BC4">
        <w:rPr>
          <w:rFonts w:ascii="Arial" w:hAnsi="Arial" w:cs="Arial"/>
          <w:b/>
        </w:rPr>
        <w:t>”</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62F025B4" w:rsidR="00914ADE" w:rsidRPr="00F27190" w:rsidRDefault="00914ADE" w:rsidP="00F27190">
      <w:pPr>
        <w:rPr>
          <w:rFonts w:ascii="Times New Roman" w:hAnsi="Times New Roman"/>
          <w:sz w:val="18"/>
          <w:szCs w:val="18"/>
          <w:vertAlign w:val="superscript"/>
        </w:rPr>
      </w:pP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6BDF0AD9" w:rsidR="00B40997" w:rsidRPr="00230BC4" w:rsidRDefault="00130D13" w:rsidP="00314CE7">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management and other related services for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w:t>
      </w:r>
      <w:r w:rsidR="00F27190">
        <w:rPr>
          <w:rFonts w:ascii="Arial" w:hAnsi="Arial" w:cs="Arial"/>
        </w:rPr>
        <w:t xml:space="preserve"> </w:t>
      </w:r>
      <w:r w:rsidR="00964412">
        <w:rPr>
          <w:rFonts w:ascii="Arial" w:hAnsi="Arial" w:cs="Arial"/>
        </w:rPr>
        <w:t>North Macedonia</w:t>
      </w:r>
      <w:r w:rsidR="00F27190">
        <w:rPr>
          <w:rFonts w:ascii="Arial" w:hAnsi="Arial" w:cs="Arial"/>
        </w:rPr>
        <w:t>”</w:t>
      </w:r>
    </w:p>
    <w:p w14:paraId="6AB63D27" w14:textId="7180C472" w:rsidR="00B40997" w:rsidRPr="00230BC4" w:rsidRDefault="00EA0A4F" w:rsidP="00EA0A4F">
      <w:pPr>
        <w:widowControl w:val="0"/>
        <w:spacing w:before="100" w:after="100" w:line="240" w:lineRule="auto"/>
        <w:ind w:left="709" w:hanging="349"/>
        <w:jc w:val="both"/>
        <w:outlineLvl w:val="0"/>
        <w:rPr>
          <w:rFonts w:ascii="Arial" w:eastAsia="Times New Roman" w:hAnsi="Arial" w:cs="Arial"/>
          <w:snapToGrid w:val="0"/>
          <w:lang w:val="en-GB"/>
        </w:rPr>
      </w:pPr>
      <w:bookmarkStart w:id="1" w:name="_Hlk72326688"/>
      <w:r>
        <w:rPr>
          <w:rFonts w:ascii="Arial" w:eastAsia="Times New Roman" w:hAnsi="Arial" w:cs="Arial"/>
          <w:i/>
          <w:lang w:eastAsia="en-GB"/>
        </w:rPr>
        <w:t xml:space="preserve">LOT </w:t>
      </w:r>
      <w:r w:rsidR="00B40997" w:rsidRPr="00230BC4">
        <w:rPr>
          <w:rFonts w:ascii="Arial" w:eastAsia="Times New Roman" w:hAnsi="Arial" w:cs="Arial"/>
          <w:i/>
          <w:lang w:eastAsia="en-GB"/>
        </w:rPr>
        <w:t>1</w:t>
      </w:r>
      <w:r>
        <w:rPr>
          <w:rFonts w:ascii="Arial" w:eastAsia="Times New Roman" w:hAnsi="Arial" w:cs="Arial"/>
          <w:i/>
          <w:lang w:eastAsia="en-GB"/>
        </w:rPr>
        <w:t xml:space="preserve"> </w:t>
      </w:r>
      <w:r w:rsidR="00B40997" w:rsidRPr="00230BC4">
        <w:rPr>
          <w:rFonts w:ascii="Arial" w:eastAsia="Times New Roman" w:hAnsi="Arial" w:cs="Arial"/>
          <w:i/>
          <w:lang w:eastAsia="en-GB"/>
        </w:rPr>
        <w:t>-</w:t>
      </w:r>
      <w:r w:rsidR="00CD1E45" w:rsidRPr="00230BC4">
        <w:rPr>
          <w:rFonts w:ascii="Arial" w:eastAsia="Times New Roman" w:hAnsi="Arial" w:cs="Arial"/>
          <w:i/>
          <w:lang w:eastAsia="en-GB"/>
        </w:rPr>
        <w:t xml:space="preserve"> “</w:t>
      </w:r>
      <w:r w:rsidR="00314CE7" w:rsidRPr="00230BC4">
        <w:rPr>
          <w:rFonts w:ascii="Arial" w:hAnsi="Arial" w:cs="Arial"/>
        </w:rPr>
        <w:t>Travel arrangements for</w:t>
      </w:r>
      <w:r>
        <w:rPr>
          <w:rFonts w:ascii="Arial" w:hAnsi="Arial" w:cs="Arial"/>
        </w:rPr>
        <w:t xml:space="preserve"> the Local Branch Office of the</w:t>
      </w:r>
      <w:r w:rsidR="00314CE7" w:rsidRPr="00230BC4">
        <w:rPr>
          <w:rFonts w:ascii="Arial" w:hAnsi="Arial" w:cs="Arial"/>
        </w:rPr>
        <w:t xml:space="preserve"> Regional Youth Cooperation Office (RYCO), </w:t>
      </w:r>
      <w:r>
        <w:rPr>
          <w:rFonts w:ascii="Arial" w:hAnsi="Arial" w:cs="Arial"/>
        </w:rPr>
        <w:t>in</w:t>
      </w:r>
      <w:r w:rsidR="00F27190">
        <w:rPr>
          <w:rFonts w:ascii="Arial" w:hAnsi="Arial" w:cs="Arial"/>
        </w:rPr>
        <w:t xml:space="preserve"> </w:t>
      </w:r>
      <w:r w:rsidR="00964412">
        <w:rPr>
          <w:rFonts w:ascii="Arial" w:hAnsi="Arial" w:cs="Arial"/>
        </w:rPr>
        <w:t>North Macedonia</w:t>
      </w:r>
      <w:r w:rsidR="00CD1E45" w:rsidRPr="00230BC4">
        <w:rPr>
          <w:rFonts w:ascii="Arial" w:eastAsia="Times New Roman" w:hAnsi="Arial" w:cs="Arial"/>
          <w:snapToGrid w:val="0"/>
          <w:lang w:val="en-GB"/>
        </w:rPr>
        <w:t>”</w:t>
      </w:r>
    </w:p>
    <w:p w14:paraId="5E5CE7C8" w14:textId="78FD5F02" w:rsidR="00CD1E45" w:rsidRPr="00230BC4" w:rsidRDefault="00B40997" w:rsidP="00EA0A4F">
      <w:pPr>
        <w:widowControl w:val="0"/>
        <w:spacing w:before="100" w:after="100" w:line="240" w:lineRule="auto"/>
        <w:ind w:left="709" w:hanging="349"/>
        <w:jc w:val="both"/>
        <w:outlineLvl w:val="0"/>
        <w:rPr>
          <w:rFonts w:ascii="Arial" w:eastAsia="Times New Roman" w:hAnsi="Arial" w:cs="Arial"/>
          <w:i/>
          <w:snapToGrid w:val="0"/>
        </w:rPr>
      </w:pPr>
      <w:r w:rsidRPr="00230BC4">
        <w:rPr>
          <w:rFonts w:ascii="Arial" w:eastAsia="Times New Roman" w:hAnsi="Arial" w:cs="Arial"/>
          <w:i/>
          <w:lang w:eastAsia="en-GB"/>
        </w:rPr>
        <w:t>LOT 2</w:t>
      </w:r>
      <w:r w:rsidR="00CD1E45" w:rsidRPr="00230BC4">
        <w:rPr>
          <w:rFonts w:ascii="Arial" w:eastAsia="Times New Roman" w:hAnsi="Arial" w:cs="Arial"/>
          <w:i/>
          <w:lang w:eastAsia="en-GB"/>
        </w:rPr>
        <w:t>- “</w:t>
      </w:r>
      <w:r w:rsidR="00314CE7" w:rsidRPr="00230BC4">
        <w:rPr>
          <w:rFonts w:ascii="Arial" w:hAnsi="Arial" w:cs="Arial"/>
        </w:rPr>
        <w:t>Accommodation, event management and external expertize services</w:t>
      </w:r>
      <w:r w:rsidR="007F5164">
        <w:rPr>
          <w:rFonts w:ascii="Arial" w:hAnsi="Arial" w:cs="Arial"/>
        </w:rPr>
        <w:t xml:space="preserve"> for the Local Branch Office of the Regional Youth Cooperation Office (RYCO) in</w:t>
      </w:r>
      <w:r w:rsidR="00F27190">
        <w:rPr>
          <w:rFonts w:ascii="Arial" w:hAnsi="Arial" w:cs="Arial"/>
        </w:rPr>
        <w:t xml:space="preserve"> </w:t>
      </w:r>
      <w:r w:rsidR="00964412">
        <w:rPr>
          <w:rFonts w:ascii="Arial" w:hAnsi="Arial" w:cs="Arial"/>
        </w:rPr>
        <w:t>North Macedonia</w:t>
      </w:r>
      <w:r w:rsidR="00CD1E45" w:rsidRPr="00230BC4">
        <w:rPr>
          <w:rFonts w:ascii="Arial" w:eastAsia="Times New Roman" w:hAnsi="Arial" w:cs="Arial"/>
          <w:i/>
          <w:lang w:eastAsia="en-GB"/>
        </w:rPr>
        <w:t>”</w:t>
      </w:r>
      <w:bookmarkEnd w:id="1"/>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5B20EDFD"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00964412">
        <w:rPr>
          <w:rFonts w:ascii="Arial" w:eastAsia="Arial" w:hAnsi="Arial" w:cs="Arial"/>
          <w:color w:val="000000"/>
        </w:rPr>
        <w:t xml:space="preserve"> North Macedonia</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2A7AAF88"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14CE7" w:rsidRPr="00E334C3">
        <w:rPr>
          <w:rFonts w:ascii="Arial" w:hAnsi="Arial" w:cs="Arial"/>
        </w:rPr>
        <w:t xml:space="preserve">Travel arrangements for </w:t>
      </w:r>
      <w:r w:rsidR="00D54425" w:rsidRPr="00E334C3">
        <w:rPr>
          <w:rFonts w:ascii="Arial" w:hAnsi="Arial" w:cs="Arial"/>
        </w:rPr>
        <w:t xml:space="preserve">the Local Branch Office of the </w:t>
      </w:r>
      <w:r w:rsidR="00314CE7" w:rsidRPr="00E334C3">
        <w:rPr>
          <w:rFonts w:ascii="Arial" w:hAnsi="Arial" w:cs="Arial"/>
        </w:rPr>
        <w:t>Regional Youth</w:t>
      </w:r>
      <w:r w:rsidR="00314CE7" w:rsidRPr="00230BC4">
        <w:rPr>
          <w:rFonts w:ascii="Arial" w:hAnsi="Arial" w:cs="Arial"/>
        </w:rPr>
        <w:t xml:space="preserve"> Cooperation Office (RYCO), </w:t>
      </w:r>
      <w:r w:rsidR="00F27190">
        <w:rPr>
          <w:rFonts w:ascii="Arial" w:hAnsi="Arial" w:cs="Arial"/>
        </w:rPr>
        <w:t xml:space="preserve">in </w:t>
      </w:r>
      <w:r w:rsidR="00964412">
        <w:rPr>
          <w:rFonts w:ascii="Arial" w:hAnsi="Arial" w:cs="Arial"/>
        </w:rPr>
        <w:t>North Macedonia</w:t>
      </w:r>
      <w:r w:rsidR="00314CE7" w:rsidRPr="00230BC4">
        <w:rPr>
          <w:rFonts w:ascii="Arial" w:eastAsia="Times New Roman" w:hAnsi="Arial" w:cs="Arial"/>
          <w:snapToGrid w:val="0"/>
          <w:lang w:val="en-GB"/>
        </w:rPr>
        <w:t>”</w:t>
      </w:r>
    </w:p>
    <w:p w14:paraId="5589894C" w14:textId="41B1FD10"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14CE7" w:rsidRPr="00230BC4">
        <w:rPr>
          <w:rFonts w:ascii="Arial" w:hAnsi="Arial" w:cs="Arial"/>
        </w:rPr>
        <w:t>Accommodation, event management and external expertize services</w:t>
      </w:r>
      <w:r w:rsidR="00D54425">
        <w:rPr>
          <w:rFonts w:ascii="Arial" w:hAnsi="Arial" w:cs="Arial"/>
        </w:rPr>
        <w:t xml:space="preserve"> for the Local Branch Office of the Regional Youth Cooperation Office (RYCO), in </w:t>
      </w:r>
      <w:r w:rsidR="00964412">
        <w:rPr>
          <w:rFonts w:ascii="Arial" w:hAnsi="Arial" w:cs="Arial"/>
        </w:rPr>
        <w:t>North Macedonia</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42FD9BB3"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964412">
        <w:rPr>
          <w:rFonts w:ascii="Arial" w:eastAsia="Times New Roman" w:hAnsi="Arial" w:cs="Arial"/>
          <w:snapToGrid w:val="0"/>
          <w:lang w:val="en-GB"/>
        </w:rPr>
        <w:t>North Macedonia</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lastRenderedPageBreak/>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230BC4" w:rsidRDefault="002E6B06" w:rsidP="0073686B">
      <w:pPr>
        <w:keepNext/>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TENDERING</w:t>
      </w:r>
    </w:p>
    <w:p w14:paraId="0B03E5E9" w14:textId="1FD6AD9D"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CD533A">
        <w:rPr>
          <w:rFonts w:ascii="Arial" w:eastAsia="Times New Roman" w:hAnsi="Arial" w:cs="Arial"/>
          <w:b/>
          <w:snapToGrid w:val="0"/>
          <w:lang w:val="en-GB"/>
        </w:rPr>
        <w:t xml:space="preserve">15.  Deadline for receipt of tenders:   </w:t>
      </w:r>
      <w:r w:rsidR="00CD533A" w:rsidRPr="00CD533A">
        <w:rPr>
          <w:rFonts w:ascii="Arial" w:eastAsia="Times New Roman" w:hAnsi="Arial" w:cs="Arial"/>
          <w:b/>
          <w:snapToGrid w:val="0"/>
          <w:lang w:val="en-GB"/>
        </w:rPr>
        <w:t>13/03/20</w:t>
      </w:r>
      <w:r w:rsidRPr="00CD533A">
        <w:rPr>
          <w:rFonts w:ascii="Arial" w:eastAsia="Times New Roman" w:hAnsi="Arial" w:cs="Arial"/>
          <w:b/>
          <w:snapToGrid w:val="0"/>
          <w:lang w:val="en-GB"/>
        </w:rPr>
        <w:t>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0750FD"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lastRenderedPageBreak/>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3D5C1BE3" w:rsidR="00501222" w:rsidRPr="00230BC4"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7879B149"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w:t>
            </w:r>
            <w:bookmarkStart w:id="3" w:name="_GoBack"/>
            <w:bookmarkEnd w:id="3"/>
            <w:r w:rsidR="00CD533A" w:rsidRPr="00CD533A">
              <w:rPr>
                <w:rFonts w:ascii="Arial" w:eastAsia="Times New Roman" w:hAnsi="Arial" w:cs="Arial"/>
                <w:b/>
                <w:lang w:val="en-GB" w:eastAsia="en-GB"/>
              </w:rPr>
              <w:t>13</w:t>
            </w:r>
            <w:r w:rsidRPr="00CD533A">
              <w:rPr>
                <w:rFonts w:ascii="Arial" w:eastAsia="Times New Roman" w:hAnsi="Arial" w:cs="Arial"/>
                <w:b/>
                <w:lang w:val="en-GB" w:eastAsia="en-GB"/>
              </w:rPr>
              <w:t>/03/2023</w:t>
            </w:r>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2C910A8F"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Pr="00230BC4">
        <w:rPr>
          <w:rFonts w:ascii="Arial" w:hAnsi="Arial" w:cs="Arial"/>
          <w:b/>
        </w:rPr>
        <w:t xml:space="preserve">Travel arrangements for </w:t>
      </w:r>
      <w:r w:rsidR="00AB56E2">
        <w:rPr>
          <w:rFonts w:ascii="Arial" w:hAnsi="Arial" w:cs="Arial"/>
          <w:b/>
        </w:rPr>
        <w:t xml:space="preserve">the Local Branch Office of the </w:t>
      </w:r>
      <w:r w:rsidRPr="00230BC4">
        <w:rPr>
          <w:rFonts w:ascii="Arial" w:hAnsi="Arial" w:cs="Arial"/>
          <w:b/>
        </w:rPr>
        <w:t xml:space="preserve">Regional Youth Cooperation Office (RYCO), </w:t>
      </w:r>
      <w:r w:rsidR="00AB56E2">
        <w:rPr>
          <w:rFonts w:ascii="Arial" w:hAnsi="Arial" w:cs="Arial"/>
          <w:b/>
        </w:rPr>
        <w:t>in</w:t>
      </w:r>
      <w:r w:rsidR="00F27190">
        <w:rPr>
          <w:rFonts w:ascii="Arial" w:hAnsi="Arial" w:cs="Arial"/>
          <w:b/>
        </w:rPr>
        <w:t xml:space="preserve"> </w:t>
      </w:r>
      <w:r w:rsidR="00964412">
        <w:rPr>
          <w:rFonts w:ascii="Arial" w:hAnsi="Arial" w:cs="Arial"/>
          <w:b/>
        </w:rPr>
        <w:t>North Macedonia</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01A25958"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2E6B06" w:rsidRPr="00230BC4">
        <w:rPr>
          <w:rFonts w:cs="Arial"/>
          <w:b/>
          <w:szCs w:val="22"/>
        </w:rPr>
        <w:t>Accommodation, event management and external expertize services</w:t>
      </w:r>
      <w:r w:rsidR="00AB56E2">
        <w:rPr>
          <w:rFonts w:cs="Arial"/>
          <w:b/>
          <w:szCs w:val="22"/>
        </w:rPr>
        <w:t xml:space="preserve"> for the Local Branch Office of the Regional Youth Cooperation Office (RYCO), in </w:t>
      </w:r>
      <w:r w:rsidR="00964412">
        <w:rPr>
          <w:rFonts w:cs="Arial"/>
          <w:b/>
          <w:szCs w:val="22"/>
        </w:rPr>
        <w:t>North Macedonia</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2CEE1B6B"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2E6B06" w:rsidRPr="00230BC4">
        <w:rPr>
          <w:rFonts w:ascii="Arial" w:hAnsi="Arial" w:cs="Arial"/>
          <w:b/>
        </w:rPr>
        <w:t>Travel arrangements for</w:t>
      </w:r>
      <w:r w:rsidR="00AB56E2">
        <w:rPr>
          <w:rFonts w:ascii="Arial" w:hAnsi="Arial" w:cs="Arial"/>
          <w:b/>
        </w:rPr>
        <w:t xml:space="preserve"> the Local Branch Office of the</w:t>
      </w:r>
      <w:r w:rsidR="002E6B06" w:rsidRPr="00230BC4">
        <w:rPr>
          <w:rFonts w:ascii="Arial" w:hAnsi="Arial" w:cs="Arial"/>
          <w:b/>
        </w:rPr>
        <w:t xml:space="preserve"> Regional Youth Cooperation Office (RYCO), </w:t>
      </w:r>
      <w:r w:rsidR="00964412">
        <w:rPr>
          <w:rFonts w:ascii="Arial" w:hAnsi="Arial" w:cs="Arial"/>
          <w:b/>
        </w:rPr>
        <w:t>in North Macedonia</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1C967870"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CC5692" w:rsidRPr="00E0346F">
        <w:rPr>
          <w:rFonts w:ascii="Arial" w:hAnsi="Arial" w:cs="Arial"/>
          <w:b/>
        </w:rPr>
        <w:t>Accommodation, event management and external expertize services</w:t>
      </w:r>
      <w:r w:rsidR="00AB56E2" w:rsidRPr="00E0346F">
        <w:rPr>
          <w:rFonts w:ascii="Arial" w:hAnsi="Arial" w:cs="Arial"/>
          <w:b/>
        </w:rPr>
        <w:t xml:space="preserve"> for the Local Branch Office of the Regional Youth Cooperation Office (RYCO), in </w:t>
      </w:r>
      <w:r w:rsidR="00964412">
        <w:rPr>
          <w:rFonts w:ascii="Arial" w:hAnsi="Arial" w:cs="Arial"/>
          <w:b/>
        </w:rPr>
        <w:t>North Macedonia</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0750FD"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0750FD"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lastRenderedPageBreak/>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77777777" w:rsidR="00393643" w:rsidRPr="00230BC4" w:rsidRDefault="00393643"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58050B37" w14:textId="6FA1BB59" w:rsidR="00B942D2" w:rsidRDefault="00B942D2" w:rsidP="00F27190">
      <w:pPr>
        <w:shd w:val="clear" w:color="auto" w:fill="FFFFFF"/>
        <w:spacing w:after="0" w:line="240" w:lineRule="auto"/>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0750FD"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w:t>
      </w:r>
      <w:r>
        <w:rPr>
          <w:rFonts w:ascii="Times New Roman" w:eastAsia="Times New Roman" w:hAnsi="Times New Roman" w:cs="Times New Roman"/>
          <w:color w:val="000000"/>
          <w:sz w:val="24"/>
          <w:szCs w:val="24"/>
        </w:rPr>
        <w:lastRenderedPageBreak/>
        <w:t xml:space="preserve">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0750FD"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lastRenderedPageBreak/>
        <w:t xml:space="preserve">D. </w:t>
      </w:r>
      <w:r w:rsidR="00BB5D7D" w:rsidRPr="009743AA">
        <w:rPr>
          <w:rFonts w:ascii="Arial" w:hAnsi="Arial" w:cs="Arial"/>
          <w:b/>
        </w:rPr>
        <w:t>TERMS OF REFERENCE</w:t>
      </w:r>
    </w:p>
    <w:p w14:paraId="26A56BEB" w14:textId="0D20EE33" w:rsidR="00366901" w:rsidRPr="009743AA" w:rsidRDefault="00BB5D7D" w:rsidP="009743AA">
      <w:pPr>
        <w:jc w:val="center"/>
        <w:rPr>
          <w:rFonts w:ascii="Arial" w:hAnsi="Arial" w:cs="Arial"/>
          <w:b/>
        </w:rPr>
      </w:pPr>
      <w:r w:rsidRPr="009743AA">
        <w:rPr>
          <w:rFonts w:ascii="Arial" w:hAnsi="Arial" w:cs="Arial"/>
          <w:b/>
        </w:rPr>
        <w:t>“Framework agreement for the provision of travel management and other related services for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964412">
        <w:rPr>
          <w:rFonts w:ascii="Arial" w:hAnsi="Arial" w:cs="Arial"/>
          <w:b/>
        </w:rPr>
        <w:t>North Macedonia</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0D0033DE" w:rsidR="00BB5D7D" w:rsidRPr="009743AA"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Travel management and other related services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964412">
        <w:rPr>
          <w:rFonts w:ascii="Arial" w:hAnsi="Arial" w:cs="Arial"/>
        </w:rPr>
        <w:t>North Macedonia</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6337FB21"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964412">
        <w:rPr>
          <w:rFonts w:ascii="Arial" w:hAnsi="Arial" w:cs="Arial"/>
        </w:rPr>
        <w:t>North Macedonia</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7E82A15F" w14:textId="66CE2A4A" w:rsidR="00BB5D7D" w:rsidRPr="00F27190" w:rsidRDefault="00BB5D7D" w:rsidP="00F27190">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 xml:space="preserve">C.1.3: The Company will provide information on country visa requirements, health, immigration clearance, foreign exchange control regulation and other government restrictions, and </w:t>
      </w:r>
      <w:r w:rsidRPr="00230BC4">
        <w:rPr>
          <w:rFonts w:ascii="Arial" w:hAnsi="Arial" w:cs="Arial"/>
        </w:rPr>
        <w:lastRenderedPageBreak/>
        <w:t>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lastRenderedPageBreak/>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Pr="00230BC4">
        <w:rPr>
          <w:rFonts w:ascii="Arial" w:eastAsia="Times New Roman" w:hAnsi="Arial" w:cs="Arial"/>
          <w:color w:val="000000"/>
        </w:rPr>
        <w:t>should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lastRenderedPageBreak/>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33E6032E" w:rsidR="0070570F" w:rsidRPr="00230BC4" w:rsidRDefault="00366901" w:rsidP="00366901">
      <w:pPr>
        <w:jc w:val="center"/>
        <w:rPr>
          <w:rFonts w:ascii="Arial" w:hAnsi="Arial" w:cs="Arial"/>
          <w:b/>
        </w:rPr>
      </w:pPr>
      <w:r w:rsidRPr="00366901">
        <w:rPr>
          <w:rFonts w:ascii="Arial" w:hAnsi="Arial" w:cs="Arial"/>
          <w:b/>
        </w:rPr>
        <w:t xml:space="preserve">“Framework agreement for the provision of travel management and other related services for the </w:t>
      </w:r>
      <w:r w:rsidR="009743AA">
        <w:rPr>
          <w:rFonts w:ascii="Arial" w:hAnsi="Arial" w:cs="Arial"/>
          <w:b/>
        </w:rPr>
        <w:t xml:space="preserve">Local Branch Office of the </w:t>
      </w:r>
      <w:r w:rsidRPr="00366901">
        <w:rPr>
          <w:rFonts w:ascii="Arial" w:hAnsi="Arial" w:cs="Arial"/>
          <w:b/>
        </w:rPr>
        <w:t xml:space="preserve">Regional Youth Cooperation Office (RYCO), </w:t>
      </w:r>
      <w:r w:rsidR="00964412">
        <w:rPr>
          <w:rFonts w:ascii="Arial" w:hAnsi="Arial" w:cs="Arial"/>
          <w:b/>
        </w:rPr>
        <w:t>in North Macedonia</w:t>
      </w:r>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76A25D0D" w14:textId="3384A36A"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027DE94F" w14:textId="77777777" w:rsidR="009743AA" w:rsidRPr="00230BC4" w:rsidRDefault="009743AA"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7FEF3BEF"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w:t>
      </w:r>
      <w:r w:rsidR="00F27190">
        <w:rPr>
          <w:rFonts w:ascii="Arial" w:hAnsi="Arial" w:cs="Arial"/>
        </w:rPr>
        <w:t xml:space="preserve">in </w:t>
      </w:r>
      <w:r w:rsidR="00964412">
        <w:rPr>
          <w:rFonts w:ascii="Arial" w:hAnsi="Arial" w:cs="Arial"/>
        </w:rPr>
        <w:t>North Macedonia</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0DA064AF"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C30C68" w:rsidRPr="00230BC4">
        <w:rPr>
          <w:rFonts w:ascii="Arial" w:hAnsi="Arial" w:cs="Arial"/>
        </w:rPr>
        <w:t>Accommodation, event management and external expertize services</w:t>
      </w:r>
      <w:r w:rsidR="009743AA">
        <w:rPr>
          <w:rFonts w:ascii="Arial" w:hAnsi="Arial" w:cs="Arial"/>
        </w:rPr>
        <w:t xml:space="preserve"> for the Local Branch Office of the Regional Youth Cooperation Office (RYCO) in </w:t>
      </w:r>
      <w:r w:rsidR="00964412">
        <w:rPr>
          <w:rFonts w:ascii="Arial" w:hAnsi="Arial" w:cs="Arial"/>
        </w:rPr>
        <w:t>North Macedonia</w:t>
      </w:r>
      <w:r w:rsidR="00C30C68" w:rsidRPr="00230BC4">
        <w:rPr>
          <w:rFonts w:ascii="Arial" w:eastAsia="Times New Roman" w:hAnsi="Arial" w:cs="Arial"/>
          <w:i/>
          <w:lang w:eastAsia="en-GB"/>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A3B2" w14:textId="77777777" w:rsidR="000750FD" w:rsidRDefault="000750FD" w:rsidP="00EF5E88">
      <w:pPr>
        <w:spacing w:after="0" w:line="240" w:lineRule="auto"/>
      </w:pPr>
      <w:r>
        <w:separator/>
      </w:r>
    </w:p>
  </w:endnote>
  <w:endnote w:type="continuationSeparator" w:id="0">
    <w:p w14:paraId="51D15DB5" w14:textId="77777777" w:rsidR="000750FD" w:rsidRDefault="000750FD"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5B53B49E"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CD533A">
          <w:rPr>
            <w:rFonts w:ascii="Times New Roman" w:hAnsi="Times New Roman" w:cs="Times New Roman"/>
            <w:noProof/>
            <w:sz w:val="20"/>
            <w:szCs w:val="20"/>
          </w:rPr>
          <w:t>20</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50D30" w14:textId="77777777" w:rsidR="000750FD" w:rsidRDefault="000750FD" w:rsidP="00EF5E88">
      <w:pPr>
        <w:spacing w:after="0" w:line="240" w:lineRule="auto"/>
      </w:pPr>
      <w:r>
        <w:separator/>
      </w:r>
    </w:p>
  </w:footnote>
  <w:footnote w:type="continuationSeparator" w:id="0">
    <w:p w14:paraId="46A3D70B" w14:textId="77777777" w:rsidR="000750FD" w:rsidRDefault="000750FD"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6C2"/>
    <w:multiLevelType w:val="hybridMultilevel"/>
    <w:tmpl w:val="452281C4"/>
    <w:lvl w:ilvl="0" w:tplc="0AEE9A1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8"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7"/>
  </w:num>
  <w:num w:numId="3">
    <w:abstractNumId w:val="35"/>
  </w:num>
  <w:num w:numId="4">
    <w:abstractNumId w:val="31"/>
  </w:num>
  <w:num w:numId="5">
    <w:abstractNumId w:val="4"/>
  </w:num>
  <w:num w:numId="6">
    <w:abstractNumId w:val="10"/>
  </w:num>
  <w:num w:numId="7">
    <w:abstractNumId w:val="39"/>
  </w:num>
  <w:num w:numId="8">
    <w:abstractNumId w:val="25"/>
  </w:num>
  <w:num w:numId="9">
    <w:abstractNumId w:val="36"/>
  </w:num>
  <w:num w:numId="10">
    <w:abstractNumId w:val="40"/>
  </w:num>
  <w:num w:numId="11">
    <w:abstractNumId w:val="3"/>
  </w:num>
  <w:num w:numId="12">
    <w:abstractNumId w:val="15"/>
  </w:num>
  <w:num w:numId="13">
    <w:abstractNumId w:val="0"/>
  </w:num>
  <w:num w:numId="14">
    <w:abstractNumId w:val="28"/>
  </w:num>
  <w:num w:numId="15">
    <w:abstractNumId w:val="32"/>
  </w:num>
  <w:num w:numId="16">
    <w:abstractNumId w:val="8"/>
  </w:num>
  <w:num w:numId="17">
    <w:abstractNumId w:val="5"/>
  </w:num>
  <w:num w:numId="18">
    <w:abstractNumId w:val="1"/>
  </w:num>
  <w:num w:numId="19">
    <w:abstractNumId w:val="12"/>
  </w:num>
  <w:num w:numId="20">
    <w:abstractNumId w:val="24"/>
  </w:num>
  <w:num w:numId="21">
    <w:abstractNumId w:val="33"/>
  </w:num>
  <w:num w:numId="22">
    <w:abstractNumId w:val="29"/>
  </w:num>
  <w:num w:numId="23">
    <w:abstractNumId w:val="9"/>
  </w:num>
  <w:num w:numId="24">
    <w:abstractNumId w:val="16"/>
  </w:num>
  <w:num w:numId="25">
    <w:abstractNumId w:val="20"/>
  </w:num>
  <w:num w:numId="26">
    <w:abstractNumId w:val="30"/>
  </w:num>
  <w:num w:numId="27">
    <w:abstractNumId w:val="19"/>
  </w:num>
  <w:num w:numId="28">
    <w:abstractNumId w:val="6"/>
  </w:num>
  <w:num w:numId="29">
    <w:abstractNumId w:val="38"/>
  </w:num>
  <w:num w:numId="30">
    <w:abstractNumId w:val="41"/>
  </w:num>
  <w:num w:numId="31">
    <w:abstractNumId w:val="21"/>
  </w:num>
  <w:num w:numId="32">
    <w:abstractNumId w:val="7"/>
  </w:num>
  <w:num w:numId="33">
    <w:abstractNumId w:val="26"/>
  </w:num>
  <w:num w:numId="34">
    <w:abstractNumId w:val="2"/>
  </w:num>
  <w:num w:numId="35">
    <w:abstractNumId w:val="18"/>
  </w:num>
  <w:num w:numId="36">
    <w:abstractNumId w:val="27"/>
  </w:num>
  <w:num w:numId="37">
    <w:abstractNumId w:val="14"/>
  </w:num>
  <w:num w:numId="38">
    <w:abstractNumId w:val="23"/>
  </w:num>
  <w:num w:numId="39">
    <w:abstractNumId w:val="11"/>
  </w:num>
  <w:num w:numId="40">
    <w:abstractNumId w:val="37"/>
  </w:num>
  <w:num w:numId="41">
    <w:abstractNumId w:val="34"/>
  </w:num>
  <w:num w:numId="4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750FD"/>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3ED3"/>
    <w:rsid w:val="00234728"/>
    <w:rsid w:val="00243FA6"/>
    <w:rsid w:val="0025225B"/>
    <w:rsid w:val="00292B1C"/>
    <w:rsid w:val="002A584B"/>
    <w:rsid w:val="002B0609"/>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3216A"/>
    <w:rsid w:val="006324AE"/>
    <w:rsid w:val="00635EC3"/>
    <w:rsid w:val="006376C7"/>
    <w:rsid w:val="006434DF"/>
    <w:rsid w:val="00643901"/>
    <w:rsid w:val="00643E8B"/>
    <w:rsid w:val="00645895"/>
    <w:rsid w:val="006474CB"/>
    <w:rsid w:val="006521F9"/>
    <w:rsid w:val="00676596"/>
    <w:rsid w:val="00686ABD"/>
    <w:rsid w:val="006B1695"/>
    <w:rsid w:val="006B6CFE"/>
    <w:rsid w:val="006C58D2"/>
    <w:rsid w:val="006E3D7D"/>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64412"/>
    <w:rsid w:val="009702A0"/>
    <w:rsid w:val="009743AA"/>
    <w:rsid w:val="00982D9A"/>
    <w:rsid w:val="00983305"/>
    <w:rsid w:val="00986C8E"/>
    <w:rsid w:val="009A5E7A"/>
    <w:rsid w:val="009B4205"/>
    <w:rsid w:val="009C3AF8"/>
    <w:rsid w:val="009D56FB"/>
    <w:rsid w:val="00A0398B"/>
    <w:rsid w:val="00A12725"/>
    <w:rsid w:val="00A20F3A"/>
    <w:rsid w:val="00A265CF"/>
    <w:rsid w:val="00A3134B"/>
    <w:rsid w:val="00A53818"/>
    <w:rsid w:val="00A55B16"/>
    <w:rsid w:val="00A63EB0"/>
    <w:rsid w:val="00A6499D"/>
    <w:rsid w:val="00A7534C"/>
    <w:rsid w:val="00A775CE"/>
    <w:rsid w:val="00A8330B"/>
    <w:rsid w:val="00AA2A48"/>
    <w:rsid w:val="00AB2CC1"/>
    <w:rsid w:val="00AB56E2"/>
    <w:rsid w:val="00AD7577"/>
    <w:rsid w:val="00B02467"/>
    <w:rsid w:val="00B03C1E"/>
    <w:rsid w:val="00B40997"/>
    <w:rsid w:val="00B53C5D"/>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5692"/>
    <w:rsid w:val="00CD1E45"/>
    <w:rsid w:val="00CD533A"/>
    <w:rsid w:val="00CE21D2"/>
    <w:rsid w:val="00D0234E"/>
    <w:rsid w:val="00D03AF9"/>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FD"/>
    <w:rsid w:val="00F21D3F"/>
    <w:rsid w:val="00F27190"/>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80DB-6D60-44E6-AE88-05B69C2D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38</Pages>
  <Words>9815</Words>
  <Characters>55951</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2023-02-10T10:47:00Z</dcterms:created>
  <dcterms:modified xsi:type="dcterms:W3CDTF">2023-02-20T12:54:00Z</dcterms:modified>
</cp:coreProperties>
</file>